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7638A" w:rsidRDefault="005B2C9C" w:rsidP="005B2C9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B2C9C">
        <w:rPr>
          <w:rFonts w:ascii="Arial" w:hAnsi="Arial" w:cs="Arial"/>
          <w:bCs/>
        </w:rPr>
        <w:t>Resolución de 21/03/2018, de la Dirección General de Turismo, Comercio y Artesanía, por la que se aprueba la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 xml:space="preserve">convocatoria de </w:t>
      </w:r>
      <w:r w:rsidRPr="005B2C9C">
        <w:rPr>
          <w:rFonts w:ascii="Arial" w:hAnsi="Arial" w:cs="Arial"/>
          <w:b/>
          <w:bCs/>
          <w:u w:val="single"/>
        </w:rPr>
        <w:t>expresiones de interés</w:t>
      </w:r>
      <w:r w:rsidRPr="005B2C9C">
        <w:rPr>
          <w:rFonts w:ascii="Arial" w:hAnsi="Arial" w:cs="Arial"/>
          <w:bCs/>
        </w:rPr>
        <w:t xml:space="preserve"> para la selección y ejecución de proyectos, relativos a la promoción,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 xml:space="preserve">mejora e incremento de los </w:t>
      </w:r>
      <w:r w:rsidRPr="005B2C9C">
        <w:rPr>
          <w:rFonts w:ascii="Arial" w:hAnsi="Arial" w:cs="Arial"/>
          <w:b/>
          <w:bCs/>
        </w:rPr>
        <w:t>recursos turísticos por las entidades loca</w:t>
      </w:r>
      <w:r w:rsidRPr="00F72257">
        <w:rPr>
          <w:rFonts w:ascii="Arial" w:hAnsi="Arial" w:cs="Arial"/>
          <w:b/>
          <w:bCs/>
        </w:rPr>
        <w:t>les</w:t>
      </w:r>
      <w:r w:rsidRPr="005B2C9C">
        <w:rPr>
          <w:rFonts w:ascii="Arial" w:hAnsi="Arial" w:cs="Arial"/>
          <w:bCs/>
        </w:rPr>
        <w:t>, en el marco del Programa Operativo</w:t>
      </w:r>
      <w:r>
        <w:rPr>
          <w:rFonts w:ascii="Arial" w:hAnsi="Arial" w:cs="Arial"/>
          <w:bCs/>
        </w:rPr>
        <w:t xml:space="preserve"> </w:t>
      </w:r>
      <w:r w:rsidRPr="005B2C9C">
        <w:rPr>
          <w:rFonts w:ascii="Arial" w:hAnsi="Arial" w:cs="Arial"/>
          <w:bCs/>
        </w:rPr>
        <w:t>FEDER Castilla-La Mancha 2014-2020.</w:t>
      </w:r>
      <w:r w:rsidR="0025577A">
        <w:rPr>
          <w:rFonts w:ascii="Arial" w:hAnsi="Arial" w:cs="Arial"/>
          <w:bCs/>
        </w:rPr>
        <w:t xml:space="preserve"> </w:t>
      </w:r>
      <w:hyperlink r:id="rId8" w:history="1">
        <w:r w:rsidR="00C7638A" w:rsidRPr="005168B6">
          <w:rPr>
            <w:rStyle w:val="Hipervnculo"/>
            <w:rFonts w:ascii="Arial" w:hAnsi="Arial" w:cs="Arial"/>
            <w:bCs/>
            <w:color w:val="000099"/>
          </w:rPr>
          <w:t xml:space="preserve">DOCM </w:t>
        </w:r>
        <w:r w:rsidR="00133AFA" w:rsidRPr="005168B6">
          <w:rPr>
            <w:rStyle w:val="Hipervnculo"/>
            <w:rFonts w:ascii="Arial" w:hAnsi="Arial" w:cs="Arial"/>
            <w:bCs/>
            <w:color w:val="000099"/>
          </w:rPr>
          <w:t xml:space="preserve">núm. </w:t>
        </w:r>
        <w:r w:rsidR="00C7638A" w:rsidRPr="005168B6">
          <w:rPr>
            <w:rStyle w:val="Hipervnculo"/>
            <w:rFonts w:ascii="Arial" w:hAnsi="Arial" w:cs="Arial"/>
            <w:bCs/>
            <w:color w:val="000099"/>
          </w:rPr>
          <w:t>61</w:t>
        </w:r>
        <w:r w:rsidR="00133AFA" w:rsidRPr="005168B6">
          <w:rPr>
            <w:rStyle w:val="Hipervnculo"/>
            <w:rFonts w:ascii="Arial" w:hAnsi="Arial" w:cs="Arial"/>
            <w:bCs/>
            <w:color w:val="000099"/>
          </w:rPr>
          <w:t>, del día 27 de marzo</w:t>
        </w:r>
      </w:hyperlink>
      <w:r w:rsidR="00133AFA">
        <w:rPr>
          <w:rFonts w:ascii="Arial" w:hAnsi="Arial" w:cs="Arial"/>
          <w:bCs/>
        </w:rPr>
        <w:t>.</w:t>
      </w:r>
    </w:p>
    <w:p w:rsidR="00C7638A" w:rsidRPr="006B0226" w:rsidRDefault="00C7638A" w:rsidP="00C7638A">
      <w:pPr>
        <w:spacing w:after="0" w:line="240" w:lineRule="auto"/>
        <w:jc w:val="both"/>
        <w:rPr>
          <w:rFonts w:ascii="Arial" w:hAnsi="Arial" w:cs="Arial"/>
          <w:bCs/>
        </w:rPr>
      </w:pPr>
    </w:p>
    <w:p w:rsidR="00C7638A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7638A" w:rsidRPr="00C83635" w:rsidRDefault="00C7638A" w:rsidP="00C7638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3635">
        <w:rPr>
          <w:rFonts w:ascii="Arial" w:hAnsi="Arial" w:cs="Arial"/>
          <w:bCs/>
        </w:rPr>
        <w:t xml:space="preserve">Dirección General </w:t>
      </w:r>
      <w:r>
        <w:rPr>
          <w:rFonts w:ascii="Arial" w:hAnsi="Arial" w:cs="Arial"/>
          <w:bCs/>
        </w:rPr>
        <w:t xml:space="preserve">de </w:t>
      </w:r>
      <w:r w:rsidR="00021DB9">
        <w:rPr>
          <w:rFonts w:ascii="Arial" w:hAnsi="Arial" w:cs="Arial"/>
          <w:bCs/>
        </w:rPr>
        <w:t>Turismo, Comercio y Artesanía.</w:t>
      </w:r>
    </w:p>
    <w:p w:rsidR="00C7638A" w:rsidRDefault="00C7638A" w:rsidP="00C7638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7638A" w:rsidRDefault="00C7638A" w:rsidP="00C7638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C7638A" w:rsidRPr="00342CC9" w:rsidRDefault="00021DB9" w:rsidP="00C7638A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021DB9">
        <w:rPr>
          <w:rFonts w:ascii="Arial" w:hAnsi="Arial" w:cs="Arial"/>
          <w:bCs/>
        </w:rPr>
        <w:t xml:space="preserve">Los recursos disponibles FEDER para esta convocatoria </w:t>
      </w:r>
      <w:r w:rsidR="00CC27E6" w:rsidRPr="00021DB9">
        <w:rPr>
          <w:rFonts w:ascii="Arial" w:hAnsi="Arial" w:cs="Arial"/>
          <w:bCs/>
        </w:rPr>
        <w:t>ascienden</w:t>
      </w:r>
      <w:r>
        <w:rPr>
          <w:rFonts w:ascii="Arial" w:hAnsi="Arial" w:cs="Arial"/>
          <w:bCs/>
        </w:rPr>
        <w:t xml:space="preserve"> a un total de </w:t>
      </w:r>
      <w:r w:rsidRPr="00021DB9">
        <w:rPr>
          <w:rFonts w:ascii="Arial" w:hAnsi="Arial" w:cs="Arial"/>
          <w:b/>
          <w:bCs/>
        </w:rPr>
        <w:t>20.000.000</w:t>
      </w:r>
      <w:r>
        <w:rPr>
          <w:rFonts w:ascii="Arial" w:hAnsi="Arial" w:cs="Arial"/>
          <w:bCs/>
        </w:rPr>
        <w:t xml:space="preserve"> euros</w:t>
      </w:r>
      <w:r w:rsidR="00133AFA">
        <w:rPr>
          <w:rFonts w:ascii="Arial" w:hAnsi="Arial" w:cs="Arial"/>
          <w:bCs/>
        </w:rPr>
        <w:t>.</w:t>
      </w:r>
    </w:p>
    <w:p w:rsidR="00021DB9" w:rsidRDefault="00021DB9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7638A" w:rsidRPr="005B3BCB" w:rsidRDefault="00C7638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C7638A" w:rsidRPr="00EE4DB7" w:rsidRDefault="004759C5" w:rsidP="00C7638A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EE4DB7">
        <w:rPr>
          <w:rFonts w:ascii="Arial" w:hAnsi="Arial" w:cs="Arial"/>
          <w:b/>
          <w:bCs/>
        </w:rPr>
        <w:t>Del 1</w:t>
      </w:r>
      <w:r w:rsidR="000E5217">
        <w:rPr>
          <w:rFonts w:ascii="Arial" w:hAnsi="Arial" w:cs="Arial"/>
          <w:b/>
          <w:bCs/>
        </w:rPr>
        <w:t>2</w:t>
      </w:r>
      <w:r w:rsidRPr="00EE4DB7">
        <w:rPr>
          <w:rFonts w:ascii="Arial" w:hAnsi="Arial" w:cs="Arial"/>
          <w:b/>
          <w:bCs/>
        </w:rPr>
        <w:t xml:space="preserve"> de abril de 2018 al 1</w:t>
      </w:r>
      <w:r w:rsidR="00911323">
        <w:rPr>
          <w:rFonts w:ascii="Arial" w:hAnsi="Arial" w:cs="Arial"/>
          <w:b/>
          <w:bCs/>
        </w:rPr>
        <w:t>3</w:t>
      </w:r>
      <w:r w:rsidRPr="00EE4DB7">
        <w:rPr>
          <w:rFonts w:ascii="Arial" w:hAnsi="Arial" w:cs="Arial"/>
          <w:b/>
          <w:bCs/>
        </w:rPr>
        <w:t xml:space="preserve"> de Julio de 2018.</w:t>
      </w:r>
    </w:p>
    <w:p w:rsidR="00C7638A" w:rsidRDefault="00C7638A" w:rsidP="00C7638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876A3" w:rsidRPr="005B3BCB" w:rsidRDefault="004876A3" w:rsidP="004876A3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="0031670D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876A3" w:rsidRPr="00137031" w:rsidRDefault="00137031" w:rsidP="00137031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37031">
        <w:rPr>
          <w:rFonts w:ascii="Arial" w:hAnsi="Arial" w:cs="Arial"/>
          <w:bCs/>
        </w:rPr>
        <w:t>Podrán ser entidades beneficiarias de esta convocatoria, los Ayuntamientos, las Entidades de ámbito territorial inferior al</w:t>
      </w:r>
      <w:r>
        <w:rPr>
          <w:rFonts w:ascii="Arial" w:hAnsi="Arial" w:cs="Arial"/>
          <w:bCs/>
        </w:rPr>
        <w:t xml:space="preserve"> </w:t>
      </w:r>
      <w:r w:rsidRPr="00137031">
        <w:rPr>
          <w:rFonts w:ascii="Arial" w:hAnsi="Arial" w:cs="Arial"/>
          <w:bCs/>
        </w:rPr>
        <w:t>municipio, las Mancomunidades de municipios de Castilla-La Mancha, las Diputaciones Provinciales y Consorcios.</w:t>
      </w:r>
    </w:p>
    <w:p w:rsidR="004876A3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u w:val="double"/>
        </w:rPr>
      </w:pP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C2913" w:rsidRDefault="009C2913" w:rsidP="009C291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C2913">
        <w:rPr>
          <w:rFonts w:ascii="Arial" w:hAnsi="Arial" w:cs="Arial"/>
          <w:bCs/>
        </w:rPr>
        <w:t>1. El objeto de esta convocatoria es fomentar la conservación del patrimonio cultural/turístico e incrementar, tanto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cuantitativa como cualitativamente, la oferta turística. Se configura como un instrumento de impulso al sector turístico,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al desarrollo rural y al equilibrio territorial en diversas zonas de Castilla-La Mancha.</w:t>
      </w:r>
    </w:p>
    <w:p w:rsidR="009C2913" w:rsidRPr="009C2913" w:rsidRDefault="009C2913" w:rsidP="009C291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9C2913">
        <w:rPr>
          <w:rFonts w:ascii="Arial" w:hAnsi="Arial" w:cs="Arial"/>
          <w:bCs/>
        </w:rPr>
        <w:t>2. La realización de estas actuaciones se articulará mediante los siguientes programas:</w:t>
      </w:r>
    </w:p>
    <w:p w:rsidR="009C2913" w:rsidRDefault="009C2913" w:rsidP="0025577A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33AFA">
        <w:rPr>
          <w:rFonts w:ascii="Arial" w:hAnsi="Arial" w:cs="Arial"/>
          <w:bCs/>
        </w:rPr>
        <w:t>Rehabilitación y mejora del patrimonio histórico-artístico en edificios que vayan a adherirse a la Red de Hospederías de Castilla-La Mancha, y otras infraestructuras de puesta en valor en conjuntos históricos patrimoniales.</w:t>
      </w:r>
    </w:p>
    <w:p w:rsidR="00C7638A" w:rsidRPr="00133AFA" w:rsidRDefault="009C2913" w:rsidP="0025577A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133AFA">
        <w:rPr>
          <w:rFonts w:ascii="Arial" w:hAnsi="Arial" w:cs="Arial"/>
          <w:bCs/>
        </w:rPr>
        <w:t>Promoción, mejora e incremento de los recursos turísticos por las Entidades Locales, destinada a propiciar las actividades de promoción turística, de cara a la ampliación y mejora de la oferta turística de Castilla-La Mancha, así como mejorar la calidad y sostenibilidad del destino, mediante la realización de inversiones en infraestructura turística.</w:t>
      </w:r>
    </w:p>
    <w:p w:rsidR="00133AFA" w:rsidRDefault="00133AFA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7638A" w:rsidRDefault="0042299B" w:rsidP="0042299B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2299B">
        <w:rPr>
          <w:rFonts w:ascii="Arial" w:hAnsi="Arial" w:cs="Arial"/>
          <w:bCs/>
        </w:rPr>
        <w:t>La contribución, en su caso, de la operación al cumplimiento de los objetivos marcados para cada una de las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zonas identificadas dentro del territorio ITI, para lo cual los órganos gestores responsables tendrán en cuenta los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 xml:space="preserve">informes emitidos por los </w:t>
      </w:r>
      <w:r w:rsidRPr="0042299B">
        <w:rPr>
          <w:rFonts w:ascii="Arial" w:hAnsi="Arial" w:cs="Arial"/>
          <w:bCs/>
        </w:rPr>
        <w:lastRenderedPageBreak/>
        <w:t>órganos creados por el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 xml:space="preserve">de gobernanza de la ITI: </w:t>
      </w:r>
      <w:r w:rsidR="00133AFA">
        <w:rPr>
          <w:rFonts w:ascii="Arial" w:hAnsi="Arial" w:cs="Arial"/>
          <w:b/>
          <w:bCs/>
        </w:rPr>
        <w:t>s</w:t>
      </w:r>
      <w:r w:rsidRPr="00EE4DB7">
        <w:rPr>
          <w:rFonts w:ascii="Arial" w:hAnsi="Arial" w:cs="Arial"/>
          <w:b/>
          <w:bCs/>
        </w:rPr>
        <w:t>e valorará con 20 puntos.</w:t>
      </w:r>
      <w:r w:rsidRPr="0042299B">
        <w:rPr>
          <w:rFonts w:ascii="Arial" w:hAnsi="Arial" w:cs="Arial"/>
          <w:bCs/>
        </w:rPr>
        <w:t xml:space="preserve"> </w:t>
      </w:r>
      <w:r w:rsidR="0025577A"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En el caso de solicitudes que incluyan más de un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municipio, la puntuación se otorgará en proporción al número de municipios incluidos dentro del territorio ITI sobre</w:t>
      </w:r>
      <w:r>
        <w:rPr>
          <w:rFonts w:ascii="Arial" w:hAnsi="Arial" w:cs="Arial"/>
          <w:bCs/>
        </w:rPr>
        <w:t xml:space="preserve"> </w:t>
      </w:r>
      <w:r w:rsidRPr="0042299B">
        <w:rPr>
          <w:rFonts w:ascii="Arial" w:hAnsi="Arial" w:cs="Arial"/>
          <w:bCs/>
        </w:rPr>
        <w:t>el total de municipios integrados en la solicitud.</w:t>
      </w:r>
    </w:p>
    <w:p w:rsidR="00C7638A" w:rsidRPr="005B3BCB" w:rsidRDefault="004876A3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7638A" w:rsidRDefault="005E6435" w:rsidP="005E6435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5E6435">
        <w:rPr>
          <w:rFonts w:ascii="Arial" w:hAnsi="Arial" w:cs="Arial"/>
          <w:bCs/>
        </w:rPr>
        <w:t>la vista de la propuesta de resolución definitiva, la persona titular de la Dirección General de Turismo, Comercio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y Artesanía, emitirá por la resolución estimatoria o desestimatoria de selección de la operación, y realizará, en su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caso, la notificación por medios electrónicos del documento que establece las condiciones de la ayuda (DECA), de</w:t>
      </w:r>
      <w:r>
        <w:rPr>
          <w:rFonts w:ascii="Arial" w:hAnsi="Arial" w:cs="Arial"/>
          <w:bCs/>
        </w:rPr>
        <w:t xml:space="preserve"> </w:t>
      </w:r>
      <w:r w:rsidRPr="005E6435">
        <w:rPr>
          <w:rFonts w:ascii="Arial" w:hAnsi="Arial" w:cs="Arial"/>
          <w:bCs/>
        </w:rPr>
        <w:t>acuerdo con lo dispuesto en el apartado séptimo.2 de esta Resolución, para ello dispondrá de un plazo máximo de</w:t>
      </w:r>
      <w:r>
        <w:rPr>
          <w:rFonts w:ascii="Arial" w:hAnsi="Arial" w:cs="Arial"/>
          <w:bCs/>
        </w:rPr>
        <w:t xml:space="preserve"> </w:t>
      </w:r>
      <w:r w:rsidRPr="00133AFA">
        <w:rPr>
          <w:rFonts w:ascii="Arial" w:hAnsi="Arial" w:cs="Arial"/>
          <w:b/>
          <w:bCs/>
          <w:u w:val="single"/>
        </w:rPr>
        <w:t>cuatro meses</w:t>
      </w:r>
      <w:r w:rsidRPr="005E6435">
        <w:rPr>
          <w:rFonts w:ascii="Arial" w:hAnsi="Arial" w:cs="Arial"/>
          <w:bCs/>
        </w:rPr>
        <w:t>, a contar desde la fecha de finalización del plazo para presentar solicitudes.</w:t>
      </w:r>
    </w:p>
    <w:p w:rsidR="00B96615" w:rsidRDefault="00B96615" w:rsidP="00B96615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B96615" w:rsidRDefault="00B96615" w:rsidP="00B96615">
      <w:pPr>
        <w:spacing w:after="0" w:line="240" w:lineRule="auto"/>
        <w:rPr>
          <w:rFonts w:ascii="Arial" w:hAnsi="Arial" w:cs="Arial"/>
          <w:bCs/>
        </w:rPr>
      </w:pPr>
    </w:p>
    <w:p w:rsidR="00B96615" w:rsidRDefault="00B96615" w:rsidP="00B96615">
      <w:pPr>
        <w:spacing w:after="0" w:line="240" w:lineRule="auto"/>
        <w:jc w:val="both"/>
        <w:rPr>
          <w:rFonts w:ascii="Arial" w:hAnsi="Arial" w:cs="Arial"/>
          <w:bCs/>
        </w:rPr>
      </w:pPr>
      <w:r w:rsidRPr="00B96615">
        <w:rPr>
          <w:rFonts w:ascii="Arial" w:hAnsi="Arial" w:cs="Arial"/>
          <w:b/>
          <w:bCs/>
        </w:rPr>
        <w:t>Programa: Rehabilitación y mejora del patrimonio histórico-artístico en edificios que vayan a adherirse a la Red de Hospederías de Castilla-La Mancha</w:t>
      </w:r>
      <w:r w:rsidRPr="009C2913">
        <w:rPr>
          <w:rFonts w:ascii="Arial" w:hAnsi="Arial" w:cs="Arial"/>
          <w:bCs/>
        </w:rPr>
        <w:t>, y otras infraestructuras de puesta en valor en conjuntos históricos patrimoniales.</w:t>
      </w:r>
      <w:r>
        <w:rPr>
          <w:rFonts w:ascii="Arial" w:hAnsi="Arial" w:cs="Arial"/>
          <w:bCs/>
        </w:rPr>
        <w:t xml:space="preserve"> </w:t>
      </w:r>
      <w:r w:rsidRPr="00B96615">
        <w:rPr>
          <w:rFonts w:ascii="Arial" w:hAnsi="Arial" w:cs="Arial"/>
          <w:b/>
          <w:bCs/>
        </w:rPr>
        <w:t>18 meses</w:t>
      </w:r>
      <w:r>
        <w:rPr>
          <w:rFonts w:ascii="Arial" w:hAnsi="Arial" w:cs="Arial"/>
          <w:bCs/>
        </w:rPr>
        <w:t xml:space="preserve"> desde la fecha de resolución.</w:t>
      </w:r>
    </w:p>
    <w:p w:rsidR="00B96615" w:rsidRDefault="00B96615" w:rsidP="00B96615">
      <w:pPr>
        <w:spacing w:after="0" w:line="240" w:lineRule="auto"/>
        <w:jc w:val="both"/>
        <w:rPr>
          <w:rFonts w:ascii="Arial" w:hAnsi="Arial" w:cs="Arial"/>
          <w:bCs/>
        </w:rPr>
      </w:pPr>
      <w:r w:rsidRPr="00B96615">
        <w:rPr>
          <w:rFonts w:ascii="Arial" w:hAnsi="Arial" w:cs="Arial"/>
          <w:b/>
          <w:bCs/>
        </w:rPr>
        <w:t>Programa: Promoción, mejora e incremento de los recursos turísticos por las Entidades Locales</w:t>
      </w:r>
      <w:r w:rsidRPr="009C2913">
        <w:rPr>
          <w:rFonts w:ascii="Arial" w:hAnsi="Arial" w:cs="Arial"/>
          <w:bCs/>
        </w:rPr>
        <w:t>, destinada a propiciar las</w:t>
      </w:r>
      <w:r>
        <w:rPr>
          <w:rFonts w:ascii="Arial" w:hAnsi="Arial" w:cs="Arial"/>
          <w:bCs/>
        </w:rPr>
        <w:t xml:space="preserve"> </w:t>
      </w:r>
      <w:r w:rsidRPr="009C2913">
        <w:rPr>
          <w:rFonts w:ascii="Arial" w:hAnsi="Arial" w:cs="Arial"/>
          <w:bCs/>
        </w:rPr>
        <w:t>acti</w:t>
      </w:r>
      <w:r>
        <w:rPr>
          <w:rFonts w:ascii="Arial" w:hAnsi="Arial" w:cs="Arial"/>
          <w:bCs/>
        </w:rPr>
        <w:t xml:space="preserve">vidades de promoción turística: </w:t>
      </w:r>
      <w:r w:rsidRPr="00B96615">
        <w:rPr>
          <w:rFonts w:ascii="Arial" w:hAnsi="Arial" w:cs="Arial"/>
          <w:b/>
          <w:bCs/>
        </w:rPr>
        <w:t xml:space="preserve">12 meses </w:t>
      </w:r>
      <w:r>
        <w:rPr>
          <w:rFonts w:ascii="Arial" w:hAnsi="Arial" w:cs="Arial"/>
          <w:bCs/>
        </w:rPr>
        <w:t>desde la fecha de resolución.</w:t>
      </w:r>
    </w:p>
    <w:p w:rsidR="00B96615" w:rsidRDefault="00B96615" w:rsidP="00B96615">
      <w:pPr>
        <w:spacing w:after="0" w:line="240" w:lineRule="auto"/>
        <w:rPr>
          <w:rFonts w:ascii="Arial" w:hAnsi="Arial" w:cs="Arial"/>
          <w:bCs/>
        </w:rPr>
      </w:pPr>
    </w:p>
    <w:p w:rsidR="00C7638A" w:rsidRPr="005B3BCB" w:rsidRDefault="00B96615" w:rsidP="00C7638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C7638A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7638A" w:rsidRDefault="00C7638A" w:rsidP="00C7638A">
      <w:pPr>
        <w:rPr>
          <w:rFonts w:ascii="Arial" w:hAnsi="Arial" w:cs="Arial"/>
          <w:b/>
          <w:bCs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25577A" w:rsidRPr="0025577A" w:rsidTr="0025577A">
        <w:trPr>
          <w:trHeight w:val="60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25577A" w:rsidRPr="0025577A" w:rsidTr="0025577A">
        <w:trPr>
          <w:trHeight w:val="1635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25577A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2557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la selección y ejecución de proyectos, relativos a la promoción, mejora e incremento de los recursos turísticos por las entidades locales, en el marco del Programa Operativo FEDER Castilla-La Mancha 2014-2020.   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5577A" w:rsidRPr="0025577A" w:rsidTr="0025577A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77A" w:rsidRPr="0025577A" w:rsidRDefault="0025577A" w:rsidP="002557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5577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C7638A" w:rsidRDefault="00C7638A" w:rsidP="0025577A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C763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133AFA">
    <w:pPr>
      <w:pStyle w:val="Encabezado"/>
      <w:tabs>
        <w:tab w:val="clear" w:pos="8504"/>
        <w:tab w:val="right" w:pos="9072"/>
      </w:tabs>
      <w:ind w:left="-851" w:right="-568"/>
      <w:rPr>
        <w:lang w:val="es-ES_tradnl"/>
      </w:rPr>
    </w:pPr>
    <w:r>
      <w:rPr>
        <w:noProof/>
        <w:lang w:eastAsia="es-ES"/>
      </w:rPr>
      <w:drawing>
        <wp:inline distT="0" distB="0" distL="0" distR="0" wp14:anchorId="7524344D" wp14:editId="08F75467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62EA">
      <w:rPr>
        <w:lang w:val="es-ES_tradnl"/>
      </w:rPr>
      <w:t xml:space="preserve">           </w:t>
    </w:r>
    <w:r w:rsidR="00133AFA">
      <w:rPr>
        <w:lang w:val="es-ES_tradnl"/>
      </w:rPr>
      <w:t xml:space="preserve">           </w:t>
    </w:r>
    <w:r w:rsidR="007E62EA">
      <w:rPr>
        <w:lang w:val="es-ES_tradnl"/>
      </w:rPr>
      <w:t xml:space="preserve">  </w:t>
    </w:r>
    <w:r>
      <w:rPr>
        <w:lang w:val="es-ES_tradnl"/>
      </w:rPr>
      <w:t xml:space="preserve">           </w:t>
    </w:r>
    <w:r w:rsidR="00133AFA">
      <w:rPr>
        <w:lang w:val="es-ES_tradnl"/>
      </w:rPr>
      <w:t xml:space="preserve">                   </w:t>
    </w:r>
    <w:r>
      <w:rPr>
        <w:lang w:val="es-ES_tradnl"/>
      </w:rPr>
      <w:t xml:space="preserve">              </w:t>
    </w:r>
    <w:r>
      <w:rPr>
        <w:noProof/>
        <w:lang w:eastAsia="es-ES"/>
      </w:rPr>
      <w:drawing>
        <wp:inline distT="0" distB="0" distL="0" distR="0" wp14:anchorId="136DB296" wp14:editId="7268DCB0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93A"/>
    <w:multiLevelType w:val="hybridMultilevel"/>
    <w:tmpl w:val="70AA95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71E"/>
    <w:multiLevelType w:val="hybridMultilevel"/>
    <w:tmpl w:val="C2302C1E"/>
    <w:lvl w:ilvl="0" w:tplc="B574B0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5217"/>
    <w:rsid w:val="000E6029"/>
    <w:rsid w:val="00111EF7"/>
    <w:rsid w:val="00122A62"/>
    <w:rsid w:val="00133AFA"/>
    <w:rsid w:val="0013490E"/>
    <w:rsid w:val="00137031"/>
    <w:rsid w:val="0015170A"/>
    <w:rsid w:val="00173485"/>
    <w:rsid w:val="001A3910"/>
    <w:rsid w:val="001B4DE3"/>
    <w:rsid w:val="001D6A5F"/>
    <w:rsid w:val="00201C25"/>
    <w:rsid w:val="00234FA3"/>
    <w:rsid w:val="0025577A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168B6"/>
    <w:rsid w:val="00532B85"/>
    <w:rsid w:val="00537E24"/>
    <w:rsid w:val="005428F9"/>
    <w:rsid w:val="0057656F"/>
    <w:rsid w:val="005B2C9C"/>
    <w:rsid w:val="005B36B0"/>
    <w:rsid w:val="005B3BCB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7737CF"/>
    <w:rsid w:val="007A4D85"/>
    <w:rsid w:val="007C7B3C"/>
    <w:rsid w:val="007E62EA"/>
    <w:rsid w:val="008604A8"/>
    <w:rsid w:val="00870D33"/>
    <w:rsid w:val="00874266"/>
    <w:rsid w:val="00876E80"/>
    <w:rsid w:val="00886BE7"/>
    <w:rsid w:val="008C1FA6"/>
    <w:rsid w:val="008E2E84"/>
    <w:rsid w:val="00911323"/>
    <w:rsid w:val="009524DF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A0001"/>
    <w:rsid w:val="00AE29F9"/>
    <w:rsid w:val="00AE36A4"/>
    <w:rsid w:val="00AE6DAE"/>
    <w:rsid w:val="00B05A86"/>
    <w:rsid w:val="00B215BB"/>
    <w:rsid w:val="00B248EB"/>
    <w:rsid w:val="00B5665A"/>
    <w:rsid w:val="00B65454"/>
    <w:rsid w:val="00B75506"/>
    <w:rsid w:val="00B96615"/>
    <w:rsid w:val="00BD76DA"/>
    <w:rsid w:val="00BE2773"/>
    <w:rsid w:val="00C001BD"/>
    <w:rsid w:val="00C018B4"/>
    <w:rsid w:val="00C10952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014FDDD-149F-403A-AD22-4E1575AF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133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6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3/27/pdf/2018_3744.pdf&amp;tipo=rutaD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E553-E9FC-46A5-AE97-B1F2C6A7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11</cp:revision>
  <cp:lastPrinted>2018-04-17T11:12:00Z</cp:lastPrinted>
  <dcterms:created xsi:type="dcterms:W3CDTF">2018-05-03T08:17:00Z</dcterms:created>
  <dcterms:modified xsi:type="dcterms:W3CDTF">2019-03-14T09:03:00Z</dcterms:modified>
</cp:coreProperties>
</file>