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0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D084D" w:rsidRPr="00024024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24024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DECRETO:</w:t>
      </w:r>
    </w:p>
    <w:p w:rsidR="00AD084D" w:rsidRPr="0001641D" w:rsidRDefault="00AD084D" w:rsidP="00AD0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D084D" w:rsidRDefault="00AD084D" w:rsidP="00AD084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 45/2018</w:t>
      </w:r>
      <w:r w:rsidRPr="00C935AA">
        <w:rPr>
          <w:rFonts w:ascii="Arial" w:hAnsi="Arial" w:cs="Arial"/>
          <w:bCs/>
          <w:sz w:val="24"/>
          <w:szCs w:val="24"/>
        </w:rPr>
        <w:t>,  de 3 de julio, de la Consejería de Economía, Empresas y Empleo, por el que se</w:t>
      </w:r>
      <w:r>
        <w:rPr>
          <w:rFonts w:ascii="Arial" w:hAnsi="Arial" w:cs="Arial"/>
          <w:b/>
          <w:bCs/>
          <w:sz w:val="24"/>
          <w:szCs w:val="24"/>
        </w:rPr>
        <w:t xml:space="preserve"> regula la </w:t>
      </w:r>
      <w:r w:rsidRPr="00DF7487">
        <w:rPr>
          <w:rFonts w:ascii="Arial" w:hAnsi="Arial" w:cs="Arial"/>
          <w:b/>
          <w:bCs/>
          <w:sz w:val="24"/>
          <w:szCs w:val="24"/>
        </w:rPr>
        <w:t>concesión directa de subvenciones para incentivar la contratación indefinida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(DOCM nº 135, de 11 de julio)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AD084D" w:rsidRPr="0001641D" w:rsidRDefault="00AD084D" w:rsidP="00AD084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084D" w:rsidRPr="0001641D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AD084D" w:rsidRPr="0001641D" w:rsidRDefault="00AD084D" w:rsidP="00AD084D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Dirección General de Programas de Empleo.</w:t>
      </w:r>
    </w:p>
    <w:p w:rsidR="00AD084D" w:rsidRDefault="00AD084D" w:rsidP="00AD08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AD084D" w:rsidRPr="0001641D" w:rsidRDefault="00AD084D" w:rsidP="00AD08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084D" w:rsidRPr="0001641D" w:rsidRDefault="00AD084D" w:rsidP="00AD084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084D" w:rsidRPr="00E471CE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AD084D" w:rsidRPr="009C3425" w:rsidRDefault="00AD084D" w:rsidP="00AD084D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3425">
        <w:rPr>
          <w:rFonts w:ascii="Arial" w:hAnsi="Arial" w:cs="Arial"/>
          <w:b/>
          <w:bCs/>
          <w:sz w:val="24"/>
          <w:szCs w:val="24"/>
        </w:rPr>
        <w:t>Las ayudas se financiarán con cargo al programa 322B “Fomento y Gestión del Empleo</w:t>
      </w:r>
      <w:r w:rsidRPr="009C3425">
        <w:rPr>
          <w:rFonts w:ascii="Arial" w:hAnsi="Arial" w:cs="Arial"/>
          <w:bCs/>
          <w:sz w:val="24"/>
          <w:szCs w:val="24"/>
        </w:rPr>
        <w:t>”, de la Dirección General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3425">
        <w:rPr>
          <w:rFonts w:ascii="Arial" w:hAnsi="Arial" w:cs="Arial"/>
          <w:bCs/>
          <w:sz w:val="24"/>
          <w:szCs w:val="24"/>
        </w:rPr>
        <w:t xml:space="preserve">competente en materia de empleo, </w:t>
      </w:r>
      <w:r w:rsidRPr="009C3425">
        <w:rPr>
          <w:rFonts w:ascii="Arial" w:hAnsi="Arial" w:cs="Arial"/>
          <w:b/>
          <w:bCs/>
          <w:sz w:val="24"/>
          <w:szCs w:val="24"/>
        </w:rPr>
        <w:t>y de las partidas presupuestarias de los artículos 47 y 48 financiadas con fondos finalistas procedentes del Servicio Público de Empleo Estatal y propios</w:t>
      </w:r>
      <w:r w:rsidRPr="009C3425">
        <w:rPr>
          <w:rFonts w:ascii="Arial" w:hAnsi="Arial" w:cs="Arial"/>
          <w:bCs/>
          <w:sz w:val="24"/>
          <w:szCs w:val="24"/>
        </w:rPr>
        <w:t>, o las que en cada momento se encuentren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3425">
        <w:rPr>
          <w:rFonts w:ascii="Arial" w:hAnsi="Arial" w:cs="Arial"/>
          <w:bCs/>
          <w:sz w:val="24"/>
          <w:szCs w:val="24"/>
        </w:rPr>
        <w:t>habilitadas para tal fin en la Ley de Presupuestos Generales de Castilla-La Mancha para cada ejercicio, teniendo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3425">
        <w:rPr>
          <w:rFonts w:ascii="Arial" w:hAnsi="Arial" w:cs="Arial"/>
          <w:bCs/>
          <w:sz w:val="24"/>
          <w:szCs w:val="24"/>
        </w:rPr>
        <w:t>como límite las consignaciones presupuestarias previstas en las partidas correspondientes.</w:t>
      </w:r>
    </w:p>
    <w:p w:rsidR="00AD084D" w:rsidRPr="0001641D" w:rsidRDefault="00AD084D" w:rsidP="00AD084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084D" w:rsidRPr="00E471CE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PRESUPUESTO:</w:t>
      </w:r>
    </w:p>
    <w:p w:rsidR="00AD084D" w:rsidRPr="00EE584B" w:rsidRDefault="00AD084D" w:rsidP="00AD084D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84B">
        <w:rPr>
          <w:rFonts w:ascii="Arial" w:hAnsi="Arial" w:cs="Arial"/>
          <w:bCs/>
          <w:sz w:val="24"/>
          <w:szCs w:val="24"/>
        </w:rPr>
        <w:t xml:space="preserve">El importe del crédito disponible para el ejercicio 2018 para atender las obligaciones económicas derivadas de la concesión de subvenciones es de </w:t>
      </w:r>
      <w:r w:rsidRPr="00EE584B">
        <w:rPr>
          <w:rFonts w:ascii="Arial" w:hAnsi="Arial" w:cs="Arial"/>
          <w:b/>
          <w:bCs/>
          <w:sz w:val="24"/>
          <w:szCs w:val="24"/>
        </w:rPr>
        <w:t>2.500.000,00 euros.</w:t>
      </w:r>
    </w:p>
    <w:p w:rsidR="00AD084D" w:rsidRPr="0001641D" w:rsidRDefault="00AD084D" w:rsidP="00AD084D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084D" w:rsidRPr="00E471CE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BENEFICIARIOS:</w:t>
      </w:r>
    </w:p>
    <w:p w:rsidR="00AD084D" w:rsidRPr="00EE584B" w:rsidRDefault="00AD084D" w:rsidP="00AD084D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584B">
        <w:rPr>
          <w:rFonts w:ascii="Arial" w:hAnsi="Arial" w:cs="Arial"/>
          <w:bCs/>
          <w:sz w:val="24"/>
          <w:szCs w:val="24"/>
        </w:rPr>
        <w:t>Podrán ser beneficiarias de estas ayudas las empresas, ya sean personas físicas o jurídicas, las sociedades laborales o cooperativas, las comunidades de bienes, las sociedades civiles y las entidades sin ánimo de lucro, de carácter privado.</w:t>
      </w:r>
    </w:p>
    <w:p w:rsidR="00AD084D" w:rsidRPr="00E471CE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AD084D" w:rsidRPr="00EE584B" w:rsidRDefault="00AD084D" w:rsidP="00AD084D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584B">
        <w:rPr>
          <w:rFonts w:ascii="Arial" w:hAnsi="Arial" w:cs="Arial"/>
          <w:bCs/>
          <w:sz w:val="24"/>
          <w:szCs w:val="24"/>
        </w:rPr>
        <w:t>El plazo de presentación de solicitudes comenzará el día siguiente al de la publicación en el Diario Oficial de Castilla-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E584B">
        <w:rPr>
          <w:rFonts w:ascii="Arial" w:hAnsi="Arial" w:cs="Arial"/>
          <w:bCs/>
          <w:sz w:val="24"/>
          <w:szCs w:val="24"/>
        </w:rPr>
        <w:t>La Mancha del texto completo y del extracto de la resolución por la que se publica el crédito presupuestario disponible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E584B">
        <w:rPr>
          <w:rFonts w:ascii="Arial" w:hAnsi="Arial" w:cs="Arial"/>
          <w:bCs/>
          <w:sz w:val="24"/>
          <w:szCs w:val="24"/>
        </w:rPr>
        <w:t>para el ejercicio y finalizará el 30 de noviembre de ese mismo año.</w:t>
      </w:r>
    </w:p>
    <w:p w:rsidR="00AD084D" w:rsidRDefault="00AD084D" w:rsidP="00AD084D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584B">
        <w:rPr>
          <w:rFonts w:ascii="Arial" w:hAnsi="Arial" w:cs="Arial"/>
          <w:bCs/>
          <w:sz w:val="24"/>
          <w:szCs w:val="24"/>
        </w:rPr>
        <w:t>Dentro del plazo anterior, para las dos líneas de ayuda, las solicitudes deberán presentarse en el plazo máximo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E584B">
        <w:rPr>
          <w:rFonts w:ascii="Arial" w:hAnsi="Arial" w:cs="Arial"/>
          <w:bCs/>
          <w:sz w:val="24"/>
          <w:szCs w:val="24"/>
        </w:rPr>
        <w:t>un mes desde la fecha de inicio del contrato y, en todo caso, hasta ese mismo día 30 de noviembre.</w:t>
      </w:r>
    </w:p>
    <w:p w:rsidR="00AD084D" w:rsidRDefault="00AD084D" w:rsidP="00AD084D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084D" w:rsidRPr="0001641D" w:rsidRDefault="00AD084D" w:rsidP="00AD084D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084D" w:rsidRPr="0001641D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AD084D" w:rsidRDefault="00AD084D" w:rsidP="00AD0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084D" w:rsidRPr="00024024" w:rsidRDefault="00AD084D" w:rsidP="00AD0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4024">
        <w:rPr>
          <w:rFonts w:ascii="Arial" w:hAnsi="Arial" w:cs="Arial"/>
          <w:b/>
          <w:bCs/>
          <w:sz w:val="24"/>
          <w:szCs w:val="24"/>
        </w:rPr>
        <w:t>Línea 1:</w:t>
      </w:r>
      <w:r w:rsidRPr="00024024">
        <w:rPr>
          <w:rFonts w:ascii="Arial" w:hAnsi="Arial" w:cs="Arial"/>
          <w:bCs/>
          <w:sz w:val="24"/>
          <w:szCs w:val="24"/>
        </w:rPr>
        <w:t xml:space="preserve"> ayudas para la contratación por tiempo indefinido de personas en situación de desempleo.</w:t>
      </w:r>
    </w:p>
    <w:p w:rsidR="00AD084D" w:rsidRDefault="00AD084D" w:rsidP="00AD0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4024">
        <w:rPr>
          <w:rFonts w:ascii="Arial" w:hAnsi="Arial" w:cs="Arial"/>
          <w:b/>
          <w:bCs/>
          <w:sz w:val="24"/>
          <w:szCs w:val="24"/>
        </w:rPr>
        <w:t>Línea 2</w:t>
      </w:r>
      <w:r w:rsidRPr="00024024">
        <w:rPr>
          <w:rFonts w:ascii="Arial" w:hAnsi="Arial" w:cs="Arial"/>
          <w:bCs/>
          <w:sz w:val="24"/>
          <w:szCs w:val="24"/>
        </w:rPr>
        <w:t>: ayudas para la transformación de contratos temporales en contratos indefinidos.</w:t>
      </w:r>
    </w:p>
    <w:p w:rsidR="00AD084D" w:rsidRPr="0001641D" w:rsidRDefault="00AD084D" w:rsidP="00AD0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084D" w:rsidRPr="00EE584B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AD084D" w:rsidRPr="00C935AA" w:rsidRDefault="00AD084D" w:rsidP="00AD084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E584B">
        <w:rPr>
          <w:rFonts w:ascii="Arial" w:hAnsi="Arial" w:cs="Arial"/>
          <w:b/>
          <w:sz w:val="24"/>
          <w:szCs w:val="24"/>
        </w:rPr>
        <w:t>La cuantía</w:t>
      </w:r>
      <w:r w:rsidRPr="00C935AA">
        <w:rPr>
          <w:rFonts w:ascii="Arial" w:hAnsi="Arial" w:cs="Arial"/>
          <w:sz w:val="24"/>
          <w:szCs w:val="24"/>
        </w:rPr>
        <w:t xml:space="preserve"> de la subvención obtenida conforme</w:t>
      </w:r>
      <w:r>
        <w:rPr>
          <w:rFonts w:ascii="Arial" w:hAnsi="Arial" w:cs="Arial"/>
          <w:sz w:val="24"/>
          <w:szCs w:val="24"/>
        </w:rPr>
        <w:t xml:space="preserve"> a lo establecido en el Decreto</w:t>
      </w:r>
      <w:r w:rsidRPr="00C935AA">
        <w:rPr>
          <w:rFonts w:ascii="Arial" w:hAnsi="Arial" w:cs="Arial"/>
          <w:sz w:val="24"/>
          <w:szCs w:val="24"/>
        </w:rPr>
        <w:t xml:space="preserve">, </w:t>
      </w:r>
      <w:r w:rsidRPr="00EE584B">
        <w:rPr>
          <w:rFonts w:ascii="Arial" w:hAnsi="Arial" w:cs="Arial"/>
          <w:b/>
          <w:sz w:val="24"/>
          <w:szCs w:val="24"/>
        </w:rPr>
        <w:t>se incrementará en un 20 %</w:t>
      </w:r>
      <w:r w:rsidRPr="00C935AA">
        <w:rPr>
          <w:rFonts w:ascii="Arial" w:hAnsi="Arial" w:cs="Arial"/>
          <w:sz w:val="24"/>
          <w:szCs w:val="24"/>
        </w:rPr>
        <w:t xml:space="preserve"> cuando las</w:t>
      </w:r>
      <w:r>
        <w:rPr>
          <w:rFonts w:ascii="Arial" w:hAnsi="Arial" w:cs="Arial"/>
          <w:sz w:val="24"/>
          <w:szCs w:val="24"/>
        </w:rPr>
        <w:t xml:space="preserve"> </w:t>
      </w:r>
      <w:r w:rsidRPr="00C935AA">
        <w:rPr>
          <w:rFonts w:ascii="Arial" w:hAnsi="Arial" w:cs="Arial"/>
          <w:sz w:val="24"/>
          <w:szCs w:val="24"/>
        </w:rPr>
        <w:t>contrataciones se realicen en alguno de los municipios incluido en el Anexo del decreto 31/2017, de 25 de abril, por</w:t>
      </w:r>
      <w:r>
        <w:rPr>
          <w:rFonts w:ascii="Arial" w:hAnsi="Arial" w:cs="Arial"/>
          <w:sz w:val="24"/>
          <w:szCs w:val="24"/>
        </w:rPr>
        <w:t xml:space="preserve"> </w:t>
      </w:r>
      <w:r w:rsidRPr="00C935AA">
        <w:rPr>
          <w:rFonts w:ascii="Arial" w:hAnsi="Arial" w:cs="Arial"/>
          <w:sz w:val="24"/>
          <w:szCs w:val="24"/>
        </w:rPr>
        <w:t>el que se establece el procedimiento de gobernanza de la Inversión Territorial Integrada (ITI) de Castilla-La Mancha</w:t>
      </w:r>
      <w:r>
        <w:rPr>
          <w:rFonts w:ascii="Arial" w:hAnsi="Arial" w:cs="Arial"/>
          <w:sz w:val="24"/>
          <w:szCs w:val="24"/>
        </w:rPr>
        <w:t xml:space="preserve"> </w:t>
      </w:r>
      <w:r w:rsidRPr="00C935AA">
        <w:rPr>
          <w:rFonts w:ascii="Arial" w:hAnsi="Arial" w:cs="Arial"/>
          <w:sz w:val="24"/>
          <w:szCs w:val="24"/>
        </w:rPr>
        <w:t>para el periodo de programación 2014-2020, o con arreglo a la distribución municipal que, en su caso, se determine</w:t>
      </w:r>
      <w:r>
        <w:rPr>
          <w:rFonts w:ascii="Arial" w:hAnsi="Arial" w:cs="Arial"/>
          <w:sz w:val="24"/>
          <w:szCs w:val="24"/>
        </w:rPr>
        <w:t xml:space="preserve"> </w:t>
      </w:r>
      <w:r w:rsidRPr="00C935AA">
        <w:rPr>
          <w:rFonts w:ascii="Arial" w:hAnsi="Arial" w:cs="Arial"/>
          <w:sz w:val="24"/>
          <w:szCs w:val="24"/>
        </w:rPr>
        <w:t>en posteriores periodos de programación.</w:t>
      </w:r>
    </w:p>
    <w:p w:rsidR="00AD084D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AD084D" w:rsidRPr="0001641D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AD084D" w:rsidRDefault="00AD084D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9C3425">
        <w:rPr>
          <w:rFonts w:ascii="Arial" w:hAnsi="Arial" w:cs="Arial"/>
          <w:sz w:val="24"/>
          <w:szCs w:val="24"/>
        </w:rPr>
        <w:t xml:space="preserve">El plazo máximo para resolver y notificar las resoluciones será de </w:t>
      </w:r>
      <w:r w:rsidRPr="009C3425">
        <w:rPr>
          <w:rFonts w:ascii="Arial" w:hAnsi="Arial" w:cs="Arial"/>
          <w:b/>
          <w:sz w:val="24"/>
          <w:szCs w:val="24"/>
        </w:rPr>
        <w:t>dos meses</w:t>
      </w:r>
      <w:r w:rsidRPr="009C3425">
        <w:rPr>
          <w:rFonts w:ascii="Arial" w:hAnsi="Arial" w:cs="Arial"/>
          <w:sz w:val="24"/>
          <w:szCs w:val="24"/>
        </w:rPr>
        <w:t xml:space="preserve"> a partir de la fecha de la presentación</w:t>
      </w:r>
      <w:r>
        <w:rPr>
          <w:rFonts w:ascii="Arial" w:hAnsi="Arial" w:cs="Arial"/>
          <w:sz w:val="24"/>
          <w:szCs w:val="24"/>
        </w:rPr>
        <w:t xml:space="preserve"> </w:t>
      </w:r>
      <w:r w:rsidRPr="009C3425">
        <w:rPr>
          <w:rFonts w:ascii="Arial" w:hAnsi="Arial" w:cs="Arial"/>
          <w:sz w:val="24"/>
          <w:szCs w:val="24"/>
        </w:rPr>
        <w:t>de la solicitud. El transcurso de dicho plazo sin que se haya dictado y notificado resolución expresa, legitima a</w:t>
      </w:r>
      <w:r>
        <w:rPr>
          <w:rFonts w:ascii="Arial" w:hAnsi="Arial" w:cs="Arial"/>
          <w:sz w:val="24"/>
          <w:szCs w:val="24"/>
        </w:rPr>
        <w:t xml:space="preserve"> las </w:t>
      </w:r>
      <w:r w:rsidRPr="009C3425">
        <w:rPr>
          <w:rFonts w:ascii="Arial" w:hAnsi="Arial" w:cs="Arial"/>
          <w:sz w:val="24"/>
          <w:szCs w:val="24"/>
        </w:rPr>
        <w:t>entidades interesadas para entender desestimada su solicitud por silencio administrativo.</w:t>
      </w:r>
    </w:p>
    <w:p w:rsidR="00AD084D" w:rsidRPr="0001641D" w:rsidRDefault="00AD084D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D084D" w:rsidRPr="0001641D" w:rsidRDefault="00AD084D" w:rsidP="00AD084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10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RESULTADOS EN ZONAS ITI:</w:t>
      </w:r>
    </w:p>
    <w:p w:rsidR="00AD084D" w:rsidRDefault="00AD084D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81"/>
        <w:gridCol w:w="2515"/>
      </w:tblGrid>
      <w:tr w:rsidR="00E866B7" w:rsidRPr="00E866B7" w:rsidTr="00E866B7">
        <w:trPr>
          <w:trHeight w:val="642"/>
          <w:jc w:val="center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Programas de Empleo</w:t>
            </w:r>
          </w:p>
        </w:tc>
      </w:tr>
      <w:tr w:rsidR="00E866B7" w:rsidRPr="00E866B7" w:rsidTr="00E866B7">
        <w:trPr>
          <w:trHeight w:val="1020"/>
          <w:jc w:val="center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Decreto 45/2018,  de 3 de julio, Subvenciones para incentivar la contratación indefinida </w:t>
            </w:r>
            <w:r w:rsidRPr="00DF5A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2018  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DF5AF3" w:rsidRDefault="00DF5AF3" w:rsidP="00E866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DF5A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PEP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JCCM/0000021946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JCCM/0000021947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JCCM/0000021948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608.946,00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242.986,00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26.500,00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ITI Cuenca&lt;2000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24.840,00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105.286,00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4.800,00</w:t>
            </w:r>
          </w:p>
        </w:tc>
      </w:tr>
      <w:tr w:rsidR="00E866B7" w:rsidRPr="00E866B7" w:rsidTr="00E866B7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7" w:rsidRPr="00E866B7" w:rsidRDefault="00E866B7" w:rsidP="00E86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86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81.560,00</w:t>
            </w:r>
          </w:p>
        </w:tc>
      </w:tr>
    </w:tbl>
    <w:p w:rsidR="00E866B7" w:rsidRDefault="00E866B7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62956" w:rsidRDefault="00A62956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A62956" w:rsidRPr="0001641D" w:rsidRDefault="00A62956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4B3DEC" w:rsidRPr="002A2B73" w:rsidRDefault="004B3DEC" w:rsidP="00306C93">
      <w:pPr>
        <w:rPr>
          <w:rFonts w:ascii="Arial" w:hAnsi="Arial" w:cs="Arial"/>
          <w:sz w:val="24"/>
          <w:szCs w:val="24"/>
        </w:rPr>
      </w:pPr>
    </w:p>
    <w:sectPr w:rsidR="004B3DEC" w:rsidRPr="002A2B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DF5AF3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DF5AF3">
      <w:rPr>
        <w:lang w:val="es-ES_tradnl"/>
      </w:rPr>
      <w:t xml:space="preserve">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7B29"/>
    <w:multiLevelType w:val="hybridMultilevel"/>
    <w:tmpl w:val="3DBE15C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5DC4"/>
    <w:multiLevelType w:val="hybridMultilevel"/>
    <w:tmpl w:val="CE1ECC5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6181"/>
    <w:multiLevelType w:val="hybridMultilevel"/>
    <w:tmpl w:val="D7F0AA5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45426"/>
    <w:multiLevelType w:val="hybridMultilevel"/>
    <w:tmpl w:val="11263A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D3BB5"/>
    <w:multiLevelType w:val="hybridMultilevel"/>
    <w:tmpl w:val="9AF05B5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53198"/>
    <w:multiLevelType w:val="hybridMultilevel"/>
    <w:tmpl w:val="924870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AD28AC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840EE9"/>
    <w:multiLevelType w:val="hybridMultilevel"/>
    <w:tmpl w:val="4BE27B7C"/>
    <w:lvl w:ilvl="0" w:tplc="0AD28A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875EB6"/>
    <w:multiLevelType w:val="hybridMultilevel"/>
    <w:tmpl w:val="45D45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37EEB"/>
    <w:multiLevelType w:val="hybridMultilevel"/>
    <w:tmpl w:val="9934C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84176"/>
    <w:multiLevelType w:val="hybridMultilevel"/>
    <w:tmpl w:val="FC4237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22687"/>
    <w:multiLevelType w:val="hybridMultilevel"/>
    <w:tmpl w:val="BF34C196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2B010071"/>
    <w:multiLevelType w:val="hybridMultilevel"/>
    <w:tmpl w:val="1B7008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7D2D3F"/>
    <w:multiLevelType w:val="hybridMultilevel"/>
    <w:tmpl w:val="1108B0EA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C34AA1"/>
    <w:multiLevelType w:val="hybridMultilevel"/>
    <w:tmpl w:val="B0E6DF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43CBD"/>
    <w:multiLevelType w:val="hybridMultilevel"/>
    <w:tmpl w:val="BDD2A16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0E07F9"/>
    <w:multiLevelType w:val="hybridMultilevel"/>
    <w:tmpl w:val="237CD0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2E27A0"/>
    <w:multiLevelType w:val="hybridMultilevel"/>
    <w:tmpl w:val="2AD829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B2592"/>
    <w:multiLevelType w:val="hybridMultilevel"/>
    <w:tmpl w:val="2BE2D16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4D7FD7"/>
    <w:multiLevelType w:val="hybridMultilevel"/>
    <w:tmpl w:val="74A6854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4224E"/>
    <w:multiLevelType w:val="hybridMultilevel"/>
    <w:tmpl w:val="9990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85A5E"/>
    <w:multiLevelType w:val="hybridMultilevel"/>
    <w:tmpl w:val="0F86FC8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87882"/>
    <w:multiLevelType w:val="hybridMultilevel"/>
    <w:tmpl w:val="CD2A42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A1303E"/>
    <w:multiLevelType w:val="hybridMultilevel"/>
    <w:tmpl w:val="06BA57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B26ED"/>
    <w:multiLevelType w:val="hybridMultilevel"/>
    <w:tmpl w:val="0F72DB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0665E5"/>
    <w:multiLevelType w:val="hybridMultilevel"/>
    <w:tmpl w:val="A4C82B8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7"/>
  </w:num>
  <w:num w:numId="4">
    <w:abstractNumId w:val="35"/>
  </w:num>
  <w:num w:numId="5">
    <w:abstractNumId w:val="33"/>
  </w:num>
  <w:num w:numId="6">
    <w:abstractNumId w:val="44"/>
  </w:num>
  <w:num w:numId="7">
    <w:abstractNumId w:val="22"/>
  </w:num>
  <w:num w:numId="8">
    <w:abstractNumId w:val="39"/>
  </w:num>
  <w:num w:numId="9">
    <w:abstractNumId w:val="27"/>
  </w:num>
  <w:num w:numId="10">
    <w:abstractNumId w:val="36"/>
  </w:num>
  <w:num w:numId="11">
    <w:abstractNumId w:val="32"/>
  </w:num>
  <w:num w:numId="12">
    <w:abstractNumId w:val="21"/>
  </w:num>
  <w:num w:numId="13">
    <w:abstractNumId w:val="23"/>
  </w:num>
  <w:num w:numId="14">
    <w:abstractNumId w:val="20"/>
  </w:num>
  <w:num w:numId="15">
    <w:abstractNumId w:val="46"/>
  </w:num>
  <w:num w:numId="16">
    <w:abstractNumId w:val="41"/>
  </w:num>
  <w:num w:numId="17">
    <w:abstractNumId w:val="28"/>
  </w:num>
  <w:num w:numId="18">
    <w:abstractNumId w:val="2"/>
  </w:num>
  <w:num w:numId="19">
    <w:abstractNumId w:val="16"/>
  </w:num>
  <w:num w:numId="20">
    <w:abstractNumId w:val="5"/>
  </w:num>
  <w:num w:numId="21">
    <w:abstractNumId w:val="8"/>
  </w:num>
  <w:num w:numId="22">
    <w:abstractNumId w:val="47"/>
  </w:num>
  <w:num w:numId="23">
    <w:abstractNumId w:val="31"/>
  </w:num>
  <w:num w:numId="24">
    <w:abstractNumId w:val="40"/>
  </w:num>
  <w:num w:numId="25">
    <w:abstractNumId w:val="0"/>
  </w:num>
  <w:num w:numId="26">
    <w:abstractNumId w:val="37"/>
  </w:num>
  <w:num w:numId="27">
    <w:abstractNumId w:val="43"/>
  </w:num>
  <w:num w:numId="28">
    <w:abstractNumId w:val="25"/>
  </w:num>
  <w:num w:numId="29">
    <w:abstractNumId w:val="14"/>
  </w:num>
  <w:num w:numId="30">
    <w:abstractNumId w:val="34"/>
  </w:num>
  <w:num w:numId="31">
    <w:abstractNumId w:val="45"/>
  </w:num>
  <w:num w:numId="32">
    <w:abstractNumId w:val="12"/>
  </w:num>
  <w:num w:numId="33">
    <w:abstractNumId w:val="26"/>
  </w:num>
  <w:num w:numId="34">
    <w:abstractNumId w:val="11"/>
  </w:num>
  <w:num w:numId="35">
    <w:abstractNumId w:val="24"/>
  </w:num>
  <w:num w:numId="36">
    <w:abstractNumId w:val="6"/>
  </w:num>
  <w:num w:numId="37">
    <w:abstractNumId w:val="42"/>
  </w:num>
  <w:num w:numId="38">
    <w:abstractNumId w:val="18"/>
  </w:num>
  <w:num w:numId="39">
    <w:abstractNumId w:val="1"/>
  </w:num>
  <w:num w:numId="40">
    <w:abstractNumId w:val="15"/>
  </w:num>
  <w:num w:numId="41">
    <w:abstractNumId w:val="10"/>
  </w:num>
  <w:num w:numId="42">
    <w:abstractNumId w:val="13"/>
  </w:num>
  <w:num w:numId="43">
    <w:abstractNumId w:val="48"/>
  </w:num>
  <w:num w:numId="44">
    <w:abstractNumId w:val="3"/>
  </w:num>
  <w:num w:numId="45">
    <w:abstractNumId w:val="29"/>
  </w:num>
  <w:num w:numId="46">
    <w:abstractNumId w:val="30"/>
  </w:num>
  <w:num w:numId="47">
    <w:abstractNumId w:val="4"/>
  </w:num>
  <w:num w:numId="48">
    <w:abstractNumId w:val="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6EE"/>
    <w:rsid w:val="00165816"/>
    <w:rsid w:val="0017100C"/>
    <w:rsid w:val="00266BC4"/>
    <w:rsid w:val="002A2B73"/>
    <w:rsid w:val="002A4DF8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66661"/>
    <w:rsid w:val="00497F37"/>
    <w:rsid w:val="004B254D"/>
    <w:rsid w:val="004B3DEC"/>
    <w:rsid w:val="004C3E7F"/>
    <w:rsid w:val="004E36AD"/>
    <w:rsid w:val="004F41D1"/>
    <w:rsid w:val="00532301"/>
    <w:rsid w:val="00533DC4"/>
    <w:rsid w:val="00571D40"/>
    <w:rsid w:val="00587CD8"/>
    <w:rsid w:val="00597F5B"/>
    <w:rsid w:val="005C1A26"/>
    <w:rsid w:val="00602F5A"/>
    <w:rsid w:val="006430BD"/>
    <w:rsid w:val="006640BA"/>
    <w:rsid w:val="00681C93"/>
    <w:rsid w:val="00687ED0"/>
    <w:rsid w:val="006B173D"/>
    <w:rsid w:val="006F224A"/>
    <w:rsid w:val="00706FE7"/>
    <w:rsid w:val="00787596"/>
    <w:rsid w:val="007A37C1"/>
    <w:rsid w:val="007A40B3"/>
    <w:rsid w:val="007F79F0"/>
    <w:rsid w:val="0080278C"/>
    <w:rsid w:val="008179EB"/>
    <w:rsid w:val="00821B90"/>
    <w:rsid w:val="00884AF5"/>
    <w:rsid w:val="008B01BA"/>
    <w:rsid w:val="008E0F6D"/>
    <w:rsid w:val="008F2503"/>
    <w:rsid w:val="008F25E9"/>
    <w:rsid w:val="00917CB5"/>
    <w:rsid w:val="0093759C"/>
    <w:rsid w:val="00942D52"/>
    <w:rsid w:val="00945CC7"/>
    <w:rsid w:val="009553A6"/>
    <w:rsid w:val="009831F9"/>
    <w:rsid w:val="00995764"/>
    <w:rsid w:val="009D39C9"/>
    <w:rsid w:val="00A038C0"/>
    <w:rsid w:val="00A160C4"/>
    <w:rsid w:val="00A62956"/>
    <w:rsid w:val="00A76985"/>
    <w:rsid w:val="00AD084D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CD4989"/>
    <w:rsid w:val="00CD749C"/>
    <w:rsid w:val="00CE1E06"/>
    <w:rsid w:val="00D32B1E"/>
    <w:rsid w:val="00D53BAB"/>
    <w:rsid w:val="00D626E2"/>
    <w:rsid w:val="00DB33F0"/>
    <w:rsid w:val="00DF5AF3"/>
    <w:rsid w:val="00E00194"/>
    <w:rsid w:val="00E25503"/>
    <w:rsid w:val="00E35CF4"/>
    <w:rsid w:val="00E54798"/>
    <w:rsid w:val="00E866B7"/>
    <w:rsid w:val="00E86B56"/>
    <w:rsid w:val="00EB3D34"/>
    <w:rsid w:val="00ED0A17"/>
    <w:rsid w:val="00F444F0"/>
    <w:rsid w:val="00F6476F"/>
    <w:rsid w:val="00F667F7"/>
    <w:rsid w:val="00F86BF4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6</cp:revision>
  <dcterms:created xsi:type="dcterms:W3CDTF">2018-12-18T18:27:00Z</dcterms:created>
  <dcterms:modified xsi:type="dcterms:W3CDTF">2019-03-06T12:06:00Z</dcterms:modified>
</cp:coreProperties>
</file>