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0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571D40" w:rsidRPr="00A75E75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032B67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CONVOCATORIAS</w:t>
      </w:r>
      <w:r w:rsidRPr="00A75E75">
        <w:rPr>
          <w:rFonts w:ascii="Arial" w:hAnsi="Arial" w:cs="Arial"/>
          <w:b/>
          <w:bCs/>
        </w:rPr>
        <w:t>:</w:t>
      </w:r>
    </w:p>
    <w:p w:rsidR="00571D40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75E75">
        <w:rPr>
          <w:rFonts w:ascii="Arial" w:hAnsi="Arial" w:cs="Arial"/>
          <w:b/>
          <w:bCs/>
        </w:rPr>
        <w:t>Orden 182/2017</w:t>
      </w:r>
      <w:r w:rsidRPr="00A75E75">
        <w:rPr>
          <w:rFonts w:ascii="Arial" w:hAnsi="Arial" w:cs="Arial"/>
          <w:bCs/>
        </w:rPr>
        <w:t xml:space="preserve">, de 23 de octubre, de la Consejería de Economía, Empresas y Empleo, por la que se establecen las </w:t>
      </w:r>
      <w:r w:rsidRPr="00A75E75">
        <w:rPr>
          <w:rFonts w:ascii="Arial" w:hAnsi="Arial" w:cs="Arial"/>
          <w:b/>
          <w:bCs/>
        </w:rPr>
        <w:t>bases reguladoras</w:t>
      </w:r>
      <w:r w:rsidRPr="00A75E75">
        <w:rPr>
          <w:rFonts w:ascii="Arial" w:hAnsi="Arial" w:cs="Arial"/>
          <w:bCs/>
        </w:rPr>
        <w:t xml:space="preserve"> de las </w:t>
      </w:r>
      <w:r w:rsidRPr="00A75E75">
        <w:rPr>
          <w:rFonts w:ascii="Arial" w:hAnsi="Arial" w:cs="Arial"/>
          <w:b/>
          <w:bCs/>
        </w:rPr>
        <w:t>ayudas para el impulso y la competitividad internacional de las empresas del sector de la moda</w:t>
      </w:r>
      <w:r w:rsidRPr="00A75E75">
        <w:rPr>
          <w:rFonts w:ascii="Arial" w:hAnsi="Arial" w:cs="Arial"/>
          <w:bCs/>
        </w:rPr>
        <w:t xml:space="preserve"> en Castilla-La Mancha, convocadas por el Instituto de Promoción Exterior de Castilla-La Mancha </w:t>
      </w:r>
      <w:r w:rsidRPr="000349B2">
        <w:rPr>
          <w:rFonts w:ascii="Arial" w:hAnsi="Arial" w:cs="Arial"/>
          <w:bCs/>
        </w:rPr>
        <w:t xml:space="preserve">cofinanciables en un 80% por el Fondo Europeo de Desarrollo Regional, en el marco del Programa Operativo </w:t>
      </w:r>
      <w:r>
        <w:rPr>
          <w:rFonts w:ascii="Arial" w:hAnsi="Arial" w:cs="Arial"/>
          <w:bCs/>
        </w:rPr>
        <w:t>FEDER</w:t>
      </w:r>
      <w:r w:rsidRPr="000349B2">
        <w:rPr>
          <w:rFonts w:ascii="Arial" w:hAnsi="Arial" w:cs="Arial"/>
          <w:bCs/>
        </w:rPr>
        <w:t xml:space="preserve"> de Castilla-La Mancha 2014-2020</w:t>
      </w:r>
      <w:r>
        <w:rPr>
          <w:rFonts w:ascii="Arial" w:hAnsi="Arial" w:cs="Arial"/>
          <w:bCs/>
        </w:rPr>
        <w:t xml:space="preserve"> </w:t>
      </w:r>
      <w:r w:rsidRPr="00070EF3">
        <w:rPr>
          <w:rFonts w:ascii="Arial" w:hAnsi="Arial" w:cs="Arial"/>
          <w:bCs/>
        </w:rPr>
        <w:t xml:space="preserve">(DOCM nº </w:t>
      </w:r>
      <w:r>
        <w:rPr>
          <w:rFonts w:ascii="Arial" w:hAnsi="Arial" w:cs="Arial"/>
          <w:bCs/>
        </w:rPr>
        <w:t>212</w:t>
      </w:r>
      <w:r w:rsidRPr="00070EF3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08</w:t>
      </w:r>
      <w:r w:rsidRPr="00070EF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11</w:t>
      </w:r>
      <w:r w:rsidRPr="00070EF3">
        <w:rPr>
          <w:rFonts w:ascii="Arial" w:hAnsi="Arial" w:cs="Arial"/>
          <w:bCs/>
        </w:rPr>
        <w:t>-2017)</w:t>
      </w:r>
      <w:r>
        <w:rPr>
          <w:rFonts w:ascii="Arial" w:hAnsi="Arial" w:cs="Arial"/>
          <w:bCs/>
        </w:rPr>
        <w:t xml:space="preserve">, </w:t>
      </w:r>
      <w:r w:rsidRPr="00696112">
        <w:rPr>
          <w:rFonts w:ascii="Arial" w:hAnsi="Arial" w:cs="Arial"/>
          <w:b/>
          <w:bCs/>
          <w:u w:val="single"/>
        </w:rPr>
        <w:t>modificada por Orden 100/2018</w:t>
      </w:r>
      <w:r w:rsidRPr="00A75E75">
        <w:rPr>
          <w:rFonts w:ascii="Arial" w:hAnsi="Arial" w:cs="Arial"/>
          <w:bCs/>
        </w:rPr>
        <w:t>, de 15 de junio, de la Consejería de Economía, Empresas y Em</w:t>
      </w:r>
      <w:r>
        <w:rPr>
          <w:rFonts w:ascii="Arial" w:hAnsi="Arial" w:cs="Arial"/>
          <w:bCs/>
        </w:rPr>
        <w:t>pleo (DOCM nº127 de 27 de junio).</w:t>
      </w:r>
    </w:p>
    <w:p w:rsidR="00571D40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</w:t>
      </w:r>
    </w:p>
    <w:p w:rsidR="00571D40" w:rsidRPr="00F71A63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2805ED">
        <w:rPr>
          <w:rFonts w:ascii="Arial" w:hAnsi="Arial" w:cs="Arial"/>
          <w:b/>
          <w:bCs/>
        </w:rPr>
        <w:t xml:space="preserve">Resolución de 28/09/2018, </w:t>
      </w:r>
      <w:r w:rsidRPr="00F71A63">
        <w:rPr>
          <w:rFonts w:ascii="Arial" w:hAnsi="Arial" w:cs="Arial"/>
          <w:bCs/>
        </w:rPr>
        <w:t xml:space="preserve">del Instituto de Promoción Exterior de Castilla-La Mancha, </w:t>
      </w:r>
      <w:r w:rsidRPr="002805ED">
        <w:rPr>
          <w:rFonts w:ascii="Arial" w:hAnsi="Arial" w:cs="Arial"/>
          <w:b/>
          <w:bCs/>
        </w:rPr>
        <w:t>por la que se aprueba la</w:t>
      </w:r>
      <w:r>
        <w:rPr>
          <w:rFonts w:ascii="Arial" w:hAnsi="Arial" w:cs="Arial"/>
          <w:b/>
          <w:bCs/>
        </w:rPr>
        <w:t xml:space="preserve"> </w:t>
      </w:r>
      <w:r w:rsidRPr="002805ED">
        <w:rPr>
          <w:rFonts w:ascii="Arial" w:hAnsi="Arial" w:cs="Arial"/>
          <w:b/>
          <w:bCs/>
        </w:rPr>
        <w:t>convocatoria de concesión de ayudas</w:t>
      </w:r>
      <w:r w:rsidRPr="00F71A63">
        <w:rPr>
          <w:rFonts w:ascii="Arial" w:hAnsi="Arial" w:cs="Arial"/>
          <w:bCs/>
        </w:rPr>
        <w:t>, al amparo de la Orden 182/2017, de 23 de octubre, de la Consejería de Economía, Empresas y Empleo, por la que se establecen las bases reguladoras de las ayudas</w:t>
      </w:r>
      <w:r w:rsidRPr="002805ED">
        <w:rPr>
          <w:rFonts w:ascii="Arial" w:hAnsi="Arial" w:cs="Arial"/>
          <w:b/>
          <w:bCs/>
        </w:rPr>
        <w:t xml:space="preserve"> para el impulso y</w:t>
      </w:r>
      <w:r>
        <w:rPr>
          <w:rFonts w:ascii="Arial" w:hAnsi="Arial" w:cs="Arial"/>
          <w:b/>
          <w:bCs/>
        </w:rPr>
        <w:t xml:space="preserve"> </w:t>
      </w:r>
      <w:r w:rsidRPr="002805ED">
        <w:rPr>
          <w:rFonts w:ascii="Arial" w:hAnsi="Arial" w:cs="Arial"/>
          <w:b/>
          <w:bCs/>
        </w:rPr>
        <w:t>la competitividad internacional de las empresas del sector de la moda en Castilla-La Mancha</w:t>
      </w:r>
      <w:r w:rsidRPr="00F71A63">
        <w:rPr>
          <w:rFonts w:ascii="Arial" w:hAnsi="Arial" w:cs="Arial"/>
          <w:bCs/>
        </w:rPr>
        <w:t xml:space="preserve">, modificada por la Orden 100/2018, de 15 de junio, de la Consejería de Economía, Empresas y Empleo y convocadas por el Instituto de Promoción Exterior de Castilla-La Mancha cofinanciables en un 80% por el Fondo Europeo de Desarrollo Regional, en el marco del Programa Operativo </w:t>
      </w:r>
      <w:proofErr w:type="spellStart"/>
      <w:r w:rsidRPr="00F71A63">
        <w:rPr>
          <w:rFonts w:ascii="Arial" w:hAnsi="Arial" w:cs="Arial"/>
          <w:bCs/>
        </w:rPr>
        <w:t>Feder</w:t>
      </w:r>
      <w:proofErr w:type="spellEnd"/>
      <w:r w:rsidRPr="00F71A63">
        <w:rPr>
          <w:rFonts w:ascii="Arial" w:hAnsi="Arial" w:cs="Arial"/>
          <w:bCs/>
        </w:rPr>
        <w:t xml:space="preserve"> 2014-2020 de Castilla-La Mancha (DOCM nº 195 de 4 de octubre).</w:t>
      </w:r>
    </w:p>
    <w:p w:rsidR="00571D40" w:rsidRPr="00696112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71D40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571D40" w:rsidRDefault="00571D40" w:rsidP="00571D40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571D40" w:rsidRDefault="00571D40" w:rsidP="00571D4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571D40" w:rsidRDefault="00571D40" w:rsidP="00571D4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71D40" w:rsidRPr="00A34719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</w:rPr>
        <w:t>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71D40" w:rsidRPr="0098549D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98549D">
        <w:rPr>
          <w:rFonts w:ascii="Arial" w:hAnsi="Arial" w:cs="Arial"/>
          <w:bCs/>
        </w:rPr>
        <w:t>Las ayudas concedidas en el marco de esta orden podrán ser cofinanciadas por el Fondo Europeo de Desarrollo Regional (</w:t>
      </w:r>
      <w:proofErr w:type="spellStart"/>
      <w:r w:rsidRPr="0098549D">
        <w:rPr>
          <w:rFonts w:ascii="Arial" w:hAnsi="Arial" w:cs="Arial"/>
          <w:bCs/>
        </w:rPr>
        <w:t>Feder</w:t>
      </w:r>
      <w:proofErr w:type="spellEnd"/>
      <w:r w:rsidRPr="0098549D">
        <w:rPr>
          <w:rFonts w:ascii="Arial" w:hAnsi="Arial" w:cs="Arial"/>
          <w:bCs/>
        </w:rPr>
        <w:t>),</w:t>
      </w:r>
      <w:r>
        <w:rPr>
          <w:rFonts w:ascii="Arial" w:hAnsi="Arial" w:cs="Arial"/>
          <w:bCs/>
        </w:rPr>
        <w:t xml:space="preserve"> </w:t>
      </w:r>
      <w:r w:rsidRPr="0098549D">
        <w:rPr>
          <w:rFonts w:ascii="Arial" w:hAnsi="Arial" w:cs="Arial"/>
          <w:bCs/>
        </w:rPr>
        <w:t xml:space="preserve">de acuerdo con lo establecido en el Programa Operativo </w:t>
      </w:r>
      <w:proofErr w:type="spellStart"/>
      <w:r w:rsidRPr="0098549D">
        <w:rPr>
          <w:rFonts w:ascii="Arial" w:hAnsi="Arial" w:cs="Arial"/>
          <w:bCs/>
        </w:rPr>
        <w:t>Feder</w:t>
      </w:r>
      <w:proofErr w:type="spellEnd"/>
      <w:r w:rsidRPr="0098549D">
        <w:rPr>
          <w:rFonts w:ascii="Arial" w:hAnsi="Arial" w:cs="Arial"/>
          <w:bCs/>
        </w:rPr>
        <w:t xml:space="preserve"> de Castilla-La Mancha 2014-2020, con la intensidad que le corresponda.</w:t>
      </w:r>
    </w:p>
    <w:p w:rsidR="00571D40" w:rsidRPr="00C35F59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71D40" w:rsidRPr="00A34719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571D40" w:rsidRPr="00C35F59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C35F59">
        <w:rPr>
          <w:rFonts w:ascii="Arial" w:hAnsi="Arial" w:cs="Arial"/>
          <w:b/>
          <w:bCs/>
        </w:rPr>
        <w:t>200.000,00 €</w:t>
      </w:r>
    </w:p>
    <w:p w:rsidR="00571D40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71D40" w:rsidRPr="00A34719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571D40" w:rsidRPr="00674019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71A63">
        <w:rPr>
          <w:rFonts w:ascii="Arial" w:hAnsi="Arial" w:cs="Arial"/>
          <w:bCs/>
        </w:rPr>
        <w:t>El plazo para la presentación de las solicitudes será de un mes desde el día siguiente a la publicación de la convocatoria</w:t>
      </w:r>
      <w:r>
        <w:rPr>
          <w:rFonts w:ascii="Arial" w:hAnsi="Arial" w:cs="Arial"/>
          <w:bCs/>
        </w:rPr>
        <w:t xml:space="preserve"> </w:t>
      </w:r>
      <w:r w:rsidRPr="00F71A63">
        <w:rPr>
          <w:rFonts w:ascii="Arial" w:hAnsi="Arial" w:cs="Arial"/>
          <w:bCs/>
        </w:rPr>
        <w:t>y su extracto en el Diario Oficial de Castilla-La Mancha</w:t>
      </w:r>
    </w:p>
    <w:p w:rsidR="00571D40" w:rsidRDefault="00571D40" w:rsidP="00571D40">
      <w:pPr>
        <w:tabs>
          <w:tab w:val="left" w:pos="2805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71D40" w:rsidRPr="00F71A63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TIPOS DE AYUDAS</w:t>
      </w:r>
    </w:p>
    <w:p w:rsidR="00571D40" w:rsidRPr="00F71A63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71A63">
        <w:rPr>
          <w:rFonts w:ascii="Arial" w:hAnsi="Arial" w:cs="Arial"/>
          <w:bCs/>
        </w:rPr>
        <w:t>El porcentaje de subvención es 20% en el caso de grandes empresas y del 40% para el resto de beneficiarios, con límite máximo de 8.000,00 euros de ayuda por beneficiario.</w:t>
      </w:r>
    </w:p>
    <w:p w:rsidR="00571D40" w:rsidRPr="00F71A63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71A63">
        <w:rPr>
          <w:rFonts w:ascii="Arial" w:hAnsi="Arial" w:cs="Arial"/>
          <w:bCs/>
        </w:rPr>
        <w:t>El presupuesto mínimo de la suma de todos los gastos sobre los que se solicita la subvención, deberá ser, al menos, de 3.000 euros</w:t>
      </w:r>
    </w:p>
    <w:p w:rsidR="00571D40" w:rsidRPr="00F71A63" w:rsidRDefault="00571D40" w:rsidP="00571D4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571D40" w:rsidRPr="00A34719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571D40" w:rsidRDefault="00571D40" w:rsidP="00571D40">
      <w:pPr>
        <w:spacing w:after="0" w:line="240" w:lineRule="auto"/>
        <w:jc w:val="both"/>
        <w:rPr>
          <w:rFonts w:ascii="Arial" w:hAnsi="Arial" w:cs="Arial"/>
          <w:bCs/>
        </w:rPr>
      </w:pPr>
    </w:p>
    <w:p w:rsidR="00571D40" w:rsidRPr="00C35F59" w:rsidRDefault="00571D40" w:rsidP="00571D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A6841">
        <w:rPr>
          <w:rFonts w:ascii="Arial" w:hAnsi="Arial" w:cs="Arial"/>
          <w:bCs/>
        </w:rPr>
        <w:t xml:space="preserve">Si el solicitante realiza su actividad económica en cualquier municipio de los incluidos en el Anexo del Decreto 31/2017, de 25 de abril, por el que se establece el procedimiento de gobernanza de la Inversión Territorial Integrada (ITI) de Castilla-La Mancha para el período de programación 2014-2020, o en aquellos municipios que, en su caso, se determine en posteriores periodos de programación. Se valorará con </w:t>
      </w:r>
      <w:r w:rsidRPr="00C35F59">
        <w:rPr>
          <w:rFonts w:ascii="Arial" w:hAnsi="Arial" w:cs="Arial"/>
          <w:b/>
          <w:bCs/>
        </w:rPr>
        <w:t>10 puntos.</w:t>
      </w:r>
    </w:p>
    <w:p w:rsidR="00571D40" w:rsidRDefault="00571D40" w:rsidP="00571D4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571D40" w:rsidRPr="00A34719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571D40" w:rsidRPr="00696112" w:rsidRDefault="00571D40" w:rsidP="00571D40">
      <w:pPr>
        <w:spacing w:before="120"/>
        <w:jc w:val="both"/>
        <w:rPr>
          <w:rFonts w:ascii="Arial" w:hAnsi="Arial" w:cs="Arial"/>
        </w:rPr>
      </w:pPr>
      <w:r w:rsidRPr="00696112">
        <w:rPr>
          <w:rFonts w:ascii="Arial" w:hAnsi="Arial" w:cs="Arial"/>
          <w:bCs/>
        </w:rPr>
        <w:t>Fecha de la resolución de la convocatoria 02/11/2017. Plazo para resolver 4 meses desde la publicación.</w:t>
      </w:r>
    </w:p>
    <w:p w:rsidR="00571D40" w:rsidRDefault="00571D40" w:rsidP="00571D4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p w:rsidR="00571D40" w:rsidRPr="00263EE9" w:rsidRDefault="00571D40" w:rsidP="00571D40">
      <w:pPr>
        <w:pBdr>
          <w:bottom w:val="double" w:sz="4" w:space="1" w:color="2E74B5" w:themeColor="accent1" w:themeShade="BF"/>
        </w:pBdr>
        <w:tabs>
          <w:tab w:val="right" w:pos="8504"/>
        </w:tabs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RESULTADOS EN ZONAS ITI</w:t>
      </w:r>
    </w:p>
    <w:p w:rsidR="00571D40" w:rsidRDefault="00571D40" w:rsidP="00571D40">
      <w:pPr>
        <w:spacing w:before="120" w:line="240" w:lineRule="auto"/>
        <w:rPr>
          <w:rFonts w:ascii="Arial" w:hAnsi="Arial" w:cs="Arial"/>
          <w:b/>
          <w:bCs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61"/>
        <w:gridCol w:w="2463"/>
      </w:tblGrid>
      <w:tr w:rsidR="003931BE" w:rsidRPr="003931BE" w:rsidTr="003931BE">
        <w:trPr>
          <w:trHeight w:val="40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IPEX</w:t>
            </w:r>
          </w:p>
        </w:tc>
      </w:tr>
      <w:tr w:rsidR="003931BE" w:rsidRPr="003931BE" w:rsidTr="003931BE">
        <w:trPr>
          <w:trHeight w:val="102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28/09/2018, ayudas para el impulso y la competitividad internacional de las empresas del sector de la moda en Castilla-La Mancha</w:t>
            </w:r>
            <w:r w:rsidR="002170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393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- </w:t>
            </w:r>
            <w:r w:rsidRPr="007140C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2019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OOAA/5510000013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OOAA/5510000003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168.948,91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8.00</w:t>
            </w:r>
            <w:r w:rsidR="00884B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2170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,00</w:t>
            </w:r>
            <w:r w:rsidR="003931BE"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7140CF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8.000,00</w:t>
            </w:r>
            <w:r w:rsidR="003931BE"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931BE" w:rsidRPr="003931BE" w:rsidTr="003931B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BE" w:rsidRPr="003931BE" w:rsidRDefault="003931BE" w:rsidP="0039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931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3931BE" w:rsidRDefault="003931BE" w:rsidP="00571D40">
      <w:pPr>
        <w:spacing w:before="120" w:line="240" w:lineRule="auto"/>
        <w:rPr>
          <w:rFonts w:ascii="Arial" w:hAnsi="Arial" w:cs="Arial"/>
          <w:b/>
          <w:bCs/>
        </w:rPr>
      </w:pPr>
    </w:p>
    <w:p w:rsidR="00E00194" w:rsidRDefault="00E00194" w:rsidP="00CD749C">
      <w:pPr>
        <w:spacing w:after="0" w:line="240" w:lineRule="auto"/>
        <w:rPr>
          <w:rFonts w:ascii="Arial" w:hAnsi="Arial" w:cs="Arial"/>
          <w:b/>
          <w:bCs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140CF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D2210F">
      <w:rPr>
        <w:lang w:val="es-ES_tradnl"/>
      </w:rPr>
      <w:t xml:space="preserve">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6181"/>
    <w:multiLevelType w:val="hybridMultilevel"/>
    <w:tmpl w:val="D7F0AA5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5426"/>
    <w:multiLevelType w:val="hybridMultilevel"/>
    <w:tmpl w:val="11263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53198"/>
    <w:multiLevelType w:val="hybridMultilevel"/>
    <w:tmpl w:val="924870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D28A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840EE9"/>
    <w:multiLevelType w:val="hybridMultilevel"/>
    <w:tmpl w:val="4BE27B7C"/>
    <w:lvl w:ilvl="0" w:tplc="0AD28A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84176"/>
    <w:multiLevelType w:val="hybridMultilevel"/>
    <w:tmpl w:val="FC4237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2B010071"/>
    <w:multiLevelType w:val="hybridMultilevel"/>
    <w:tmpl w:val="1B7008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7D2D3F"/>
    <w:multiLevelType w:val="hybridMultilevel"/>
    <w:tmpl w:val="1108B0EA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B2592"/>
    <w:multiLevelType w:val="hybridMultilevel"/>
    <w:tmpl w:val="2BE2D1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4D7FD7"/>
    <w:multiLevelType w:val="hybridMultilevel"/>
    <w:tmpl w:val="74A6854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0665E5"/>
    <w:multiLevelType w:val="hybridMultilevel"/>
    <w:tmpl w:val="A4C82B8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7"/>
  </w:num>
  <w:num w:numId="4">
    <w:abstractNumId w:val="35"/>
  </w:num>
  <w:num w:numId="5">
    <w:abstractNumId w:val="33"/>
  </w:num>
  <w:num w:numId="6">
    <w:abstractNumId w:val="44"/>
  </w:num>
  <w:num w:numId="7">
    <w:abstractNumId w:val="22"/>
  </w:num>
  <w:num w:numId="8">
    <w:abstractNumId w:val="39"/>
  </w:num>
  <w:num w:numId="9">
    <w:abstractNumId w:val="27"/>
  </w:num>
  <w:num w:numId="10">
    <w:abstractNumId w:val="36"/>
  </w:num>
  <w:num w:numId="11">
    <w:abstractNumId w:val="32"/>
  </w:num>
  <w:num w:numId="12">
    <w:abstractNumId w:val="21"/>
  </w:num>
  <w:num w:numId="13">
    <w:abstractNumId w:val="23"/>
  </w:num>
  <w:num w:numId="14">
    <w:abstractNumId w:val="20"/>
  </w:num>
  <w:num w:numId="15">
    <w:abstractNumId w:val="46"/>
  </w:num>
  <w:num w:numId="16">
    <w:abstractNumId w:val="41"/>
  </w:num>
  <w:num w:numId="17">
    <w:abstractNumId w:val="28"/>
  </w:num>
  <w:num w:numId="18">
    <w:abstractNumId w:val="2"/>
  </w:num>
  <w:num w:numId="19">
    <w:abstractNumId w:val="16"/>
  </w:num>
  <w:num w:numId="20">
    <w:abstractNumId w:val="5"/>
  </w:num>
  <w:num w:numId="21">
    <w:abstractNumId w:val="8"/>
  </w:num>
  <w:num w:numId="22">
    <w:abstractNumId w:val="47"/>
  </w:num>
  <w:num w:numId="23">
    <w:abstractNumId w:val="31"/>
  </w:num>
  <w:num w:numId="24">
    <w:abstractNumId w:val="40"/>
  </w:num>
  <w:num w:numId="25">
    <w:abstractNumId w:val="0"/>
  </w:num>
  <w:num w:numId="26">
    <w:abstractNumId w:val="37"/>
  </w:num>
  <w:num w:numId="27">
    <w:abstractNumId w:val="43"/>
  </w:num>
  <w:num w:numId="28">
    <w:abstractNumId w:val="25"/>
  </w:num>
  <w:num w:numId="29">
    <w:abstractNumId w:val="14"/>
  </w:num>
  <w:num w:numId="30">
    <w:abstractNumId w:val="34"/>
  </w:num>
  <w:num w:numId="31">
    <w:abstractNumId w:val="45"/>
  </w:num>
  <w:num w:numId="32">
    <w:abstractNumId w:val="12"/>
  </w:num>
  <w:num w:numId="33">
    <w:abstractNumId w:val="26"/>
  </w:num>
  <w:num w:numId="34">
    <w:abstractNumId w:val="11"/>
  </w:num>
  <w:num w:numId="35">
    <w:abstractNumId w:val="24"/>
  </w:num>
  <w:num w:numId="36">
    <w:abstractNumId w:val="6"/>
  </w:num>
  <w:num w:numId="37">
    <w:abstractNumId w:val="42"/>
  </w:num>
  <w:num w:numId="38">
    <w:abstractNumId w:val="18"/>
  </w:num>
  <w:num w:numId="39">
    <w:abstractNumId w:val="1"/>
  </w:num>
  <w:num w:numId="40">
    <w:abstractNumId w:val="15"/>
  </w:num>
  <w:num w:numId="41">
    <w:abstractNumId w:val="10"/>
  </w:num>
  <w:num w:numId="42">
    <w:abstractNumId w:val="13"/>
  </w:num>
  <w:num w:numId="43">
    <w:abstractNumId w:val="48"/>
  </w:num>
  <w:num w:numId="44">
    <w:abstractNumId w:val="3"/>
  </w:num>
  <w:num w:numId="45">
    <w:abstractNumId w:val="29"/>
  </w:num>
  <w:num w:numId="46">
    <w:abstractNumId w:val="30"/>
  </w:num>
  <w:num w:numId="47">
    <w:abstractNumId w:val="4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6EE"/>
    <w:rsid w:val="00165816"/>
    <w:rsid w:val="0017100C"/>
    <w:rsid w:val="00217083"/>
    <w:rsid w:val="00266BC4"/>
    <w:rsid w:val="002A2B73"/>
    <w:rsid w:val="002A4DF8"/>
    <w:rsid w:val="002C1BC4"/>
    <w:rsid w:val="00306C93"/>
    <w:rsid w:val="0033530B"/>
    <w:rsid w:val="00337D3C"/>
    <w:rsid w:val="00365EA3"/>
    <w:rsid w:val="003931BE"/>
    <w:rsid w:val="003969DC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71D40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140CF"/>
    <w:rsid w:val="007A37C1"/>
    <w:rsid w:val="007A40B3"/>
    <w:rsid w:val="007F79F0"/>
    <w:rsid w:val="0080278C"/>
    <w:rsid w:val="008179EB"/>
    <w:rsid w:val="00821B90"/>
    <w:rsid w:val="00884AF5"/>
    <w:rsid w:val="00884B2A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2210F"/>
    <w:rsid w:val="00D32B1E"/>
    <w:rsid w:val="00D53BAB"/>
    <w:rsid w:val="00D626E2"/>
    <w:rsid w:val="00DB33F0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7</cp:revision>
  <dcterms:created xsi:type="dcterms:W3CDTF">2018-12-18T18:19:00Z</dcterms:created>
  <dcterms:modified xsi:type="dcterms:W3CDTF">2019-05-22T08:42:00Z</dcterms:modified>
</cp:coreProperties>
</file>