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0A" w:rsidRPr="005B3BCB" w:rsidRDefault="0015170A" w:rsidP="005B3BC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 xml:space="preserve">1.- </w:t>
      </w:r>
      <w:r w:rsidR="009752C5">
        <w:rPr>
          <w:rFonts w:ascii="Arial" w:hAnsi="Arial" w:cs="Arial"/>
          <w:b/>
          <w:bCs/>
          <w:color w:val="2F5496" w:themeColor="accent5" w:themeShade="BF"/>
        </w:rPr>
        <w:t>RESOLUCIÓN</w:t>
      </w:r>
      <w:r w:rsidRPr="005B3BCB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4F40A2" w:rsidRPr="004F40A2" w:rsidRDefault="004F40A2" w:rsidP="004F40A2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F40A2">
        <w:rPr>
          <w:rFonts w:ascii="Arial" w:hAnsi="Arial" w:cs="Arial"/>
          <w:bCs/>
        </w:rPr>
        <w:t xml:space="preserve">Resolución de 21/03/2018, de la Dirección General de Industria, Energía y Minería, por la que se aprueba la convocatoria de </w:t>
      </w:r>
      <w:r w:rsidRPr="00B215BB">
        <w:rPr>
          <w:rFonts w:ascii="Arial" w:hAnsi="Arial" w:cs="Arial"/>
          <w:b/>
          <w:bCs/>
          <w:u w:val="single"/>
        </w:rPr>
        <w:t>expresiones de interés</w:t>
      </w:r>
      <w:r w:rsidRPr="004F40A2">
        <w:rPr>
          <w:rFonts w:ascii="Arial" w:hAnsi="Arial" w:cs="Arial"/>
          <w:bCs/>
        </w:rPr>
        <w:t xml:space="preserve"> para la selección y ejecución de proyectos,</w:t>
      </w:r>
      <w:r w:rsidR="00334C8B">
        <w:rPr>
          <w:rFonts w:ascii="Arial" w:hAnsi="Arial" w:cs="Arial"/>
          <w:bCs/>
        </w:rPr>
        <w:t xml:space="preserve"> </w:t>
      </w:r>
      <w:r w:rsidRPr="004F40A2">
        <w:rPr>
          <w:rFonts w:ascii="Arial" w:hAnsi="Arial" w:cs="Arial"/>
          <w:bCs/>
        </w:rPr>
        <w:t xml:space="preserve">relativos a actuaciones para </w:t>
      </w:r>
      <w:r w:rsidRPr="00B215BB">
        <w:rPr>
          <w:rFonts w:ascii="Arial" w:hAnsi="Arial" w:cs="Arial"/>
          <w:b/>
          <w:bCs/>
        </w:rPr>
        <w:t>ahorro y eficiencia energética en alumbrado público exterior</w:t>
      </w:r>
      <w:r w:rsidRPr="004F40A2">
        <w:rPr>
          <w:rFonts w:ascii="Arial" w:hAnsi="Arial" w:cs="Arial"/>
          <w:bCs/>
        </w:rPr>
        <w:t>, en el marco del Programa Operativo FEDER Castilla-La Mancha 2014-2020.</w:t>
      </w:r>
    </w:p>
    <w:p w:rsidR="006B0226" w:rsidRDefault="00334C8B" w:rsidP="004F40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DOCM núm. </w:t>
      </w:r>
      <w:r w:rsidR="004F40A2">
        <w:rPr>
          <w:rFonts w:ascii="Arial" w:hAnsi="Arial" w:cs="Arial"/>
          <w:bCs/>
        </w:rPr>
        <w:t>61</w:t>
      </w:r>
      <w:r>
        <w:rPr>
          <w:rFonts w:ascii="Arial" w:hAnsi="Arial" w:cs="Arial"/>
          <w:bCs/>
        </w:rPr>
        <w:t>, del día 27 de marzo</w:t>
      </w:r>
    </w:p>
    <w:p w:rsidR="006B0226" w:rsidRPr="006B0226" w:rsidRDefault="006B0226" w:rsidP="006B0226">
      <w:pPr>
        <w:spacing w:after="0" w:line="240" w:lineRule="auto"/>
        <w:jc w:val="both"/>
        <w:rPr>
          <w:rFonts w:ascii="Arial" w:hAnsi="Arial" w:cs="Arial"/>
          <w:bCs/>
        </w:rPr>
      </w:pPr>
    </w:p>
    <w:p w:rsidR="0015170A" w:rsidRDefault="0015170A" w:rsidP="005B3BC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C83635" w:rsidRPr="00C83635" w:rsidRDefault="00C83635" w:rsidP="00C83635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C83635">
        <w:rPr>
          <w:rFonts w:ascii="Arial" w:hAnsi="Arial" w:cs="Arial"/>
          <w:bCs/>
        </w:rPr>
        <w:t xml:space="preserve">Dirección General </w:t>
      </w:r>
      <w:r>
        <w:rPr>
          <w:rFonts w:ascii="Arial" w:hAnsi="Arial" w:cs="Arial"/>
          <w:bCs/>
        </w:rPr>
        <w:t>de Industria, Energía y Minería</w:t>
      </w:r>
      <w:r w:rsidR="008F4661">
        <w:rPr>
          <w:rFonts w:ascii="Arial" w:hAnsi="Arial" w:cs="Arial"/>
          <w:bCs/>
        </w:rPr>
        <w:t>.</w:t>
      </w:r>
    </w:p>
    <w:p w:rsidR="0015170A" w:rsidRDefault="0015170A" w:rsidP="0015170A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15170A" w:rsidRDefault="0015170A" w:rsidP="0015170A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15170A" w:rsidRPr="005B3BCB" w:rsidRDefault="0015170A" w:rsidP="005B3BC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3.- PRESUPUESTO:</w:t>
      </w:r>
    </w:p>
    <w:p w:rsidR="00342CC9" w:rsidRPr="00342CC9" w:rsidRDefault="00342CC9" w:rsidP="00342CC9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342CC9">
        <w:rPr>
          <w:rFonts w:ascii="Arial" w:hAnsi="Arial" w:cs="Arial"/>
          <w:bCs/>
        </w:rPr>
        <w:t xml:space="preserve">1. Los recursos globales máximos para esta convocatoria asciende a </w:t>
      </w:r>
      <w:r w:rsidRPr="00C457FC">
        <w:rPr>
          <w:rFonts w:ascii="Arial" w:hAnsi="Arial" w:cs="Arial"/>
          <w:b/>
          <w:bCs/>
        </w:rPr>
        <w:t>7.000.000 €.</w:t>
      </w:r>
    </w:p>
    <w:p w:rsidR="00264CDE" w:rsidRDefault="00342CC9" w:rsidP="001B4DE3">
      <w:pPr>
        <w:spacing w:before="120" w:after="120" w:line="240" w:lineRule="auto"/>
        <w:ind w:left="284" w:hanging="284"/>
        <w:jc w:val="both"/>
        <w:rPr>
          <w:rFonts w:ascii="Arial" w:hAnsi="Arial" w:cs="Arial"/>
          <w:bCs/>
        </w:rPr>
      </w:pPr>
      <w:r w:rsidRPr="00342CC9">
        <w:rPr>
          <w:rFonts w:ascii="Arial" w:hAnsi="Arial" w:cs="Arial"/>
          <w:bCs/>
        </w:rPr>
        <w:t xml:space="preserve">2. Serán elegibles aquellos proyectos que supongan un coste elegible no superior a </w:t>
      </w:r>
      <w:r w:rsidRPr="00334C8B">
        <w:rPr>
          <w:rFonts w:ascii="Arial" w:hAnsi="Arial" w:cs="Arial"/>
          <w:b/>
          <w:bCs/>
        </w:rPr>
        <w:t>2.000.000 €</w:t>
      </w:r>
      <w:r w:rsidRPr="00342CC9">
        <w:rPr>
          <w:rFonts w:ascii="Arial" w:hAnsi="Arial" w:cs="Arial"/>
          <w:bCs/>
        </w:rPr>
        <w:t>.</w:t>
      </w:r>
    </w:p>
    <w:p w:rsidR="00B248EB" w:rsidRPr="00342CC9" w:rsidRDefault="00B248EB" w:rsidP="001B4DE3">
      <w:pPr>
        <w:spacing w:before="120" w:after="120" w:line="240" w:lineRule="auto"/>
        <w:ind w:left="284" w:hanging="284"/>
        <w:jc w:val="both"/>
        <w:rPr>
          <w:rFonts w:ascii="Arial" w:hAnsi="Arial" w:cs="Arial"/>
          <w:bCs/>
        </w:rPr>
      </w:pPr>
    </w:p>
    <w:p w:rsidR="0015170A" w:rsidRPr="005B3BCB" w:rsidRDefault="0015170A" w:rsidP="005B3BC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4.- PLAZO PRESENTACIÓN DE SOLICITUDES:</w:t>
      </w:r>
    </w:p>
    <w:p w:rsidR="009A58C9" w:rsidRDefault="00DF3D0F" w:rsidP="005B3BC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Del 1</w:t>
      </w:r>
      <w:r w:rsidR="00B6701D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de Abril de 2018 al 1</w:t>
      </w:r>
      <w:r w:rsidR="009E0F3D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de Julio de 2018.</w:t>
      </w:r>
    </w:p>
    <w:p w:rsidR="00DF3D0F" w:rsidRDefault="00DF3D0F" w:rsidP="005B3BC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4643DA" w:rsidRPr="005B3BCB" w:rsidRDefault="004643DA" w:rsidP="004643D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5.- BENEFICIARIOS</w:t>
      </w:r>
      <w:r w:rsidRPr="005B3BCB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4643DA" w:rsidRPr="004643DA" w:rsidRDefault="004643DA" w:rsidP="004643DA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4643DA">
        <w:rPr>
          <w:rFonts w:ascii="Arial" w:hAnsi="Arial" w:cs="Arial"/>
          <w:bCs/>
        </w:rPr>
        <w:t>Podrán ser beneficiarios de las ayudas, los siguientes:</w:t>
      </w:r>
    </w:p>
    <w:p w:rsidR="004643DA" w:rsidRPr="004643DA" w:rsidRDefault="004643DA" w:rsidP="004643DA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4643DA">
        <w:rPr>
          <w:rFonts w:ascii="Arial" w:hAnsi="Arial" w:cs="Arial"/>
          <w:bCs/>
        </w:rPr>
        <w:t>Tendrán la condición de beneficiarios de estas ayudas las Entidades Locales de Castilla-La Mancha: los Ayuntamientos,</w:t>
      </w:r>
      <w:r>
        <w:rPr>
          <w:rFonts w:ascii="Arial" w:hAnsi="Arial" w:cs="Arial"/>
          <w:bCs/>
        </w:rPr>
        <w:t xml:space="preserve"> </w:t>
      </w:r>
      <w:r w:rsidRPr="004643DA">
        <w:rPr>
          <w:rFonts w:ascii="Arial" w:hAnsi="Arial" w:cs="Arial"/>
          <w:bCs/>
        </w:rPr>
        <w:t>mancomunidades de municipios de Castilla-La Mancha y Diputaciones Provinciales.</w:t>
      </w:r>
    </w:p>
    <w:p w:rsidR="004643DA" w:rsidRPr="004643DA" w:rsidRDefault="004643DA" w:rsidP="004643DA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4643DA">
        <w:rPr>
          <w:rFonts w:ascii="Arial" w:hAnsi="Arial" w:cs="Arial"/>
          <w:bCs/>
        </w:rPr>
        <w:t>En cualquier caso, un mismo municipio no podrá realizar solicitud para una misma operación de manera agrupada y de</w:t>
      </w:r>
      <w:r>
        <w:rPr>
          <w:rFonts w:ascii="Arial" w:hAnsi="Arial" w:cs="Arial"/>
          <w:bCs/>
        </w:rPr>
        <w:t xml:space="preserve"> </w:t>
      </w:r>
      <w:r w:rsidRPr="004643DA">
        <w:rPr>
          <w:rFonts w:ascii="Arial" w:hAnsi="Arial" w:cs="Arial"/>
          <w:bCs/>
        </w:rPr>
        <w:t>manera individual, debiendo optar por una de las dos vías.</w:t>
      </w:r>
    </w:p>
    <w:p w:rsidR="004643DA" w:rsidRPr="004643DA" w:rsidRDefault="004643DA" w:rsidP="004643DA">
      <w:pPr>
        <w:spacing w:before="120" w:after="0" w:line="240" w:lineRule="auto"/>
        <w:jc w:val="both"/>
        <w:rPr>
          <w:rFonts w:ascii="Arial" w:hAnsi="Arial" w:cs="Arial"/>
          <w:bCs/>
        </w:rPr>
      </w:pPr>
    </w:p>
    <w:p w:rsidR="0015170A" w:rsidRPr="005B3BCB" w:rsidRDefault="004643DA" w:rsidP="005B3BC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="0015170A" w:rsidRPr="005B3BCB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342CC9" w:rsidRPr="00342CC9" w:rsidRDefault="00342CC9" w:rsidP="00342CC9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342CC9">
        <w:rPr>
          <w:rFonts w:ascii="Arial" w:hAnsi="Arial" w:cs="Arial"/>
          <w:bCs/>
        </w:rPr>
        <w:t>1. El objeto de esta convocatoria es promover el ahorro y la eficiencia energética en el sector público de Castilla-La Mancha, mediante la renovación del alumbrado público exterior de forma que se obtenga un ahorro y se mejore la eficiencia energética en este tipo de instalaciones.</w:t>
      </w:r>
    </w:p>
    <w:p w:rsidR="00342CC9" w:rsidRDefault="00342CC9" w:rsidP="00342CC9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342CC9">
        <w:rPr>
          <w:rFonts w:ascii="Arial" w:hAnsi="Arial" w:cs="Arial"/>
          <w:bCs/>
        </w:rPr>
        <w:t>2. Serán susceptibles por tanto de la presente expresión de interés las renovaciones de alumbrado público exterior cuya finalidad sea el ahorro y la mejora de la eficiencia energética de este tipo de instalaciones. Las actuaciones que se planteen deben reducir el consumo de energía final y las emisiones de dióxido de carbono, con respecto a la situación inicial de partida, debiendo obtener una reducción del consumo de energía eléctrica en la instalación reformada en al menos un 30%.</w:t>
      </w:r>
    </w:p>
    <w:p w:rsidR="00FB4C98" w:rsidRPr="00342CC9" w:rsidRDefault="00FB4C98" w:rsidP="00342CC9">
      <w:pPr>
        <w:spacing w:before="120" w:after="120" w:line="240" w:lineRule="auto"/>
        <w:jc w:val="both"/>
        <w:rPr>
          <w:rFonts w:ascii="Arial" w:hAnsi="Arial" w:cs="Arial"/>
          <w:bCs/>
        </w:rPr>
      </w:pPr>
    </w:p>
    <w:p w:rsidR="004643DA" w:rsidRDefault="004643DA" w:rsidP="004B36BE">
      <w:pP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15170A" w:rsidRPr="005B3BCB" w:rsidRDefault="004643DA" w:rsidP="005B3BC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lastRenderedPageBreak/>
        <w:t>7</w:t>
      </w:r>
      <w:r w:rsidR="0015170A" w:rsidRPr="005B3BCB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C43F38" w:rsidRDefault="00C43F38" w:rsidP="00C43F38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C43F38">
        <w:rPr>
          <w:rFonts w:ascii="Arial" w:hAnsi="Arial" w:cs="Arial"/>
          <w:bCs/>
        </w:rPr>
        <w:t>La contribución, en su caso, de la operación al cumplimiento de los objetivos marcados para cada una de las</w:t>
      </w:r>
      <w:r>
        <w:rPr>
          <w:rFonts w:ascii="Arial" w:hAnsi="Arial" w:cs="Arial"/>
          <w:bCs/>
        </w:rPr>
        <w:t xml:space="preserve"> </w:t>
      </w:r>
      <w:r w:rsidRPr="00C43F38">
        <w:rPr>
          <w:rFonts w:ascii="Arial" w:hAnsi="Arial" w:cs="Arial"/>
          <w:bCs/>
        </w:rPr>
        <w:t>zonas identificadas dentro del territorio ITI, para lo cual los órganos gestores responsables tendrán en cuenta los</w:t>
      </w:r>
      <w:r>
        <w:rPr>
          <w:rFonts w:ascii="Arial" w:hAnsi="Arial" w:cs="Arial"/>
          <w:bCs/>
        </w:rPr>
        <w:t xml:space="preserve"> </w:t>
      </w:r>
      <w:r w:rsidRPr="00C43F38">
        <w:rPr>
          <w:rFonts w:ascii="Arial" w:hAnsi="Arial" w:cs="Arial"/>
          <w:bCs/>
        </w:rPr>
        <w:t>informes emitidos por los órganos creados por el Decreto 31/2017, de 25 de abril, por el que se establece el procedimiento</w:t>
      </w:r>
      <w:r>
        <w:rPr>
          <w:rFonts w:ascii="Arial" w:hAnsi="Arial" w:cs="Arial"/>
          <w:bCs/>
        </w:rPr>
        <w:t xml:space="preserve"> </w:t>
      </w:r>
      <w:r w:rsidRPr="00C43F38">
        <w:rPr>
          <w:rFonts w:ascii="Arial" w:hAnsi="Arial" w:cs="Arial"/>
          <w:bCs/>
        </w:rPr>
        <w:t xml:space="preserve">de gobernanza de la ITI: </w:t>
      </w:r>
      <w:r w:rsidRPr="001D6A5F">
        <w:rPr>
          <w:rFonts w:ascii="Arial" w:hAnsi="Arial" w:cs="Arial"/>
          <w:b/>
          <w:bCs/>
        </w:rPr>
        <w:t>Se valorará con 20 puntos.</w:t>
      </w:r>
      <w:r w:rsidRPr="00C43F38">
        <w:rPr>
          <w:rFonts w:ascii="Arial" w:hAnsi="Arial" w:cs="Arial"/>
          <w:bCs/>
        </w:rPr>
        <w:t xml:space="preserve"> </w:t>
      </w:r>
    </w:p>
    <w:p w:rsidR="00D511D2" w:rsidRDefault="00C43F38" w:rsidP="00C43F38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C43F38">
        <w:rPr>
          <w:rFonts w:ascii="Arial" w:hAnsi="Arial" w:cs="Arial"/>
          <w:bCs/>
        </w:rPr>
        <w:t>En el caso de solicitudes que incluyan más de un</w:t>
      </w:r>
      <w:r>
        <w:rPr>
          <w:rFonts w:ascii="Arial" w:hAnsi="Arial" w:cs="Arial"/>
          <w:bCs/>
        </w:rPr>
        <w:t xml:space="preserve"> </w:t>
      </w:r>
      <w:r w:rsidRPr="00C43F38">
        <w:rPr>
          <w:rFonts w:ascii="Arial" w:hAnsi="Arial" w:cs="Arial"/>
          <w:bCs/>
        </w:rPr>
        <w:t>municipio, la puntuación se otorgará en proporción al número de municipios incluidos dentro del territorio ITI sobre</w:t>
      </w:r>
      <w:r>
        <w:rPr>
          <w:rFonts w:ascii="Arial" w:hAnsi="Arial" w:cs="Arial"/>
          <w:bCs/>
        </w:rPr>
        <w:t xml:space="preserve"> </w:t>
      </w:r>
      <w:r w:rsidRPr="00C43F38">
        <w:rPr>
          <w:rFonts w:ascii="Arial" w:hAnsi="Arial" w:cs="Arial"/>
          <w:bCs/>
        </w:rPr>
        <w:t>el total de municipios integrados en la solicitud.</w:t>
      </w:r>
    </w:p>
    <w:p w:rsidR="004643DA" w:rsidRDefault="004643DA" w:rsidP="005B3BC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B5409" w:rsidRPr="005B3BCB" w:rsidRDefault="004643DA" w:rsidP="005B3BC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="00EB5409" w:rsidRPr="005B3BCB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B5665A" w:rsidRPr="00B5665A" w:rsidRDefault="00B5665A" w:rsidP="00B5665A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B5665A">
        <w:rPr>
          <w:rFonts w:ascii="Arial" w:hAnsi="Arial" w:cs="Arial"/>
          <w:bCs/>
        </w:rPr>
        <w:t>A la vista de la propuesta de resolución definitiva, la persona titular de la Dirección General de Industria, Energía</w:t>
      </w:r>
      <w:r>
        <w:rPr>
          <w:rFonts w:ascii="Arial" w:hAnsi="Arial" w:cs="Arial"/>
          <w:bCs/>
        </w:rPr>
        <w:t xml:space="preserve"> </w:t>
      </w:r>
      <w:r w:rsidRPr="00B5665A">
        <w:rPr>
          <w:rFonts w:ascii="Arial" w:hAnsi="Arial" w:cs="Arial"/>
          <w:bCs/>
        </w:rPr>
        <w:t>y Minería, emitirá la resolución estimatoria o desestimatoria de selección de la operación, y realizará, en su caso, la</w:t>
      </w:r>
      <w:r>
        <w:rPr>
          <w:rFonts w:ascii="Arial" w:hAnsi="Arial" w:cs="Arial"/>
          <w:bCs/>
        </w:rPr>
        <w:t xml:space="preserve"> </w:t>
      </w:r>
      <w:r w:rsidRPr="00B5665A">
        <w:rPr>
          <w:rFonts w:ascii="Arial" w:hAnsi="Arial" w:cs="Arial"/>
          <w:bCs/>
        </w:rPr>
        <w:t>notificación por medios electrónicos, para ello dispondrá de un plazo máximo de</w:t>
      </w:r>
      <w:r>
        <w:rPr>
          <w:rFonts w:ascii="Arial" w:hAnsi="Arial" w:cs="Arial"/>
          <w:bCs/>
        </w:rPr>
        <w:t xml:space="preserve"> </w:t>
      </w:r>
      <w:r w:rsidRPr="008F4661">
        <w:rPr>
          <w:rFonts w:ascii="Arial" w:hAnsi="Arial" w:cs="Arial"/>
          <w:b/>
          <w:bCs/>
          <w:u w:val="single"/>
        </w:rPr>
        <w:t>cuatro meses</w:t>
      </w:r>
      <w:r w:rsidRPr="00B5665A">
        <w:rPr>
          <w:rFonts w:ascii="Arial" w:hAnsi="Arial" w:cs="Arial"/>
          <w:bCs/>
        </w:rPr>
        <w:t xml:space="preserve">, a contar desde la fecha de finalización del plazo para presentar solicitudes. </w:t>
      </w:r>
    </w:p>
    <w:p w:rsidR="0047470E" w:rsidRDefault="0047470E" w:rsidP="005B3BC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B5409" w:rsidRPr="005B3BCB" w:rsidRDefault="004643DA" w:rsidP="005B3BC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="00EB5409" w:rsidRPr="005B3BCB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 w:rsidR="00334C8B">
        <w:rPr>
          <w:rFonts w:ascii="Arial" w:hAnsi="Arial" w:cs="Arial"/>
          <w:b/>
          <w:bCs/>
          <w:color w:val="2F5496" w:themeColor="accent5" w:themeShade="BF"/>
        </w:rPr>
        <w:t>PLAZO DE EJECUCIÓN PROYECTOS</w:t>
      </w:r>
      <w:r w:rsidR="00EB5409" w:rsidRPr="005B3BCB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093C77" w:rsidRPr="00334C8B" w:rsidRDefault="00334C8B" w:rsidP="005B3BCB">
      <w:pPr>
        <w:spacing w:after="0" w:line="240" w:lineRule="auto"/>
        <w:rPr>
          <w:rFonts w:ascii="Arial" w:hAnsi="Arial" w:cs="Arial"/>
          <w:bCs/>
        </w:rPr>
      </w:pPr>
      <w:r w:rsidRPr="00334C8B">
        <w:rPr>
          <w:rFonts w:ascii="Arial" w:hAnsi="Arial" w:cs="Arial"/>
          <w:bCs/>
        </w:rPr>
        <w:t xml:space="preserve">El periodo de ejecución de la operación será de </w:t>
      </w:r>
      <w:r w:rsidRPr="008F4661">
        <w:rPr>
          <w:rFonts w:ascii="Arial" w:hAnsi="Arial" w:cs="Arial"/>
          <w:b/>
          <w:bCs/>
        </w:rPr>
        <w:t>9 meses</w:t>
      </w:r>
      <w:r w:rsidRPr="00334C8B">
        <w:rPr>
          <w:rFonts w:ascii="Arial" w:hAnsi="Arial" w:cs="Arial"/>
          <w:bCs/>
        </w:rPr>
        <w:t xml:space="preserve"> a contar desde la fecha de la resolución de selección de la operación.</w:t>
      </w:r>
    </w:p>
    <w:p w:rsidR="00093C77" w:rsidRDefault="00093C77" w:rsidP="005B3BCB">
      <w:pPr>
        <w:spacing w:after="0" w:line="240" w:lineRule="auto"/>
        <w:rPr>
          <w:rFonts w:ascii="Arial" w:hAnsi="Arial" w:cs="Arial"/>
          <w:b/>
          <w:bCs/>
        </w:rPr>
      </w:pPr>
    </w:p>
    <w:p w:rsidR="00334C8B" w:rsidRPr="005B3BCB" w:rsidRDefault="00334C8B" w:rsidP="00334C8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bookmarkStart w:id="0" w:name="_GoBack"/>
      <w:bookmarkEnd w:id="0"/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Pr="005B3BCB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334C8B" w:rsidRDefault="00334C8B" w:rsidP="005B3BCB">
      <w:pPr>
        <w:spacing w:after="0" w:line="240" w:lineRule="auto"/>
        <w:rPr>
          <w:rFonts w:ascii="Arial" w:hAnsi="Arial" w:cs="Arial"/>
          <w:b/>
          <w:bCs/>
        </w:rPr>
      </w:pPr>
    </w:p>
    <w:p w:rsidR="00093C77" w:rsidRDefault="00093C77" w:rsidP="005B3BCB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7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5"/>
        <w:gridCol w:w="2005"/>
        <w:gridCol w:w="2890"/>
      </w:tblGrid>
      <w:tr w:rsidR="00867E06" w:rsidRPr="00867E06" w:rsidTr="00867E06">
        <w:trPr>
          <w:trHeight w:val="600"/>
          <w:jc w:val="center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:rsidR="00867E06" w:rsidRPr="00867E06" w:rsidRDefault="00867E06" w:rsidP="00867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867E0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Dirección General de Industria, Energía y Minería</w:t>
            </w:r>
          </w:p>
        </w:tc>
      </w:tr>
      <w:tr w:rsidR="00867E06" w:rsidRPr="00867E06" w:rsidTr="00867E06">
        <w:trPr>
          <w:trHeight w:val="1485"/>
          <w:jc w:val="center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E06" w:rsidRPr="00867E06" w:rsidRDefault="00867E06" w:rsidP="00867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67E06">
              <w:rPr>
                <w:rFonts w:ascii="Arial" w:eastAsia="Times New Roman" w:hAnsi="Arial" w:cs="Arial"/>
                <w:color w:val="000000"/>
                <w:lang w:eastAsia="es-ES"/>
              </w:rPr>
              <w:t xml:space="preserve">Resolución de 21/03/2018, por la que se aprueba la convocatoria de </w:t>
            </w:r>
            <w:r w:rsidRPr="00867E06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expresiones de interés</w:t>
            </w:r>
            <w:r w:rsidRPr="00867E06">
              <w:rPr>
                <w:rFonts w:ascii="Arial" w:eastAsia="Times New Roman" w:hAnsi="Arial" w:cs="Arial"/>
                <w:color w:val="000000"/>
                <w:lang w:eastAsia="es-ES"/>
              </w:rPr>
              <w:t xml:space="preserve"> para la selección y ejecución de proyectos, relativos a actuaciones para ahorro y eficiencia energética en alumbrado público exterior, en el marco del Programa Operativo FEDER Castilla-La Mancha 2014-2020.</w:t>
            </w:r>
          </w:p>
        </w:tc>
      </w:tr>
      <w:tr w:rsidR="00867E06" w:rsidRPr="00867E06" w:rsidTr="00867E06">
        <w:trPr>
          <w:trHeight w:val="402"/>
          <w:jc w:val="center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867E06" w:rsidRPr="00867E06" w:rsidRDefault="00867E06" w:rsidP="00867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867E06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DECA</w:t>
            </w:r>
          </w:p>
        </w:tc>
      </w:tr>
      <w:tr w:rsidR="00867E06" w:rsidRPr="00867E06" w:rsidTr="00867E06">
        <w:trPr>
          <w:trHeight w:val="40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7E06" w:rsidRPr="00867E06" w:rsidRDefault="00867E06" w:rsidP="00867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7E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7E06" w:rsidRPr="00867E06" w:rsidRDefault="00867E06" w:rsidP="00867E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7E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7E06" w:rsidRPr="00867E06" w:rsidRDefault="00867E06" w:rsidP="00867E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7E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867E06" w:rsidRPr="00867E06" w:rsidTr="00867E06">
        <w:trPr>
          <w:trHeight w:val="40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E06" w:rsidRPr="00867E06" w:rsidRDefault="00867E06" w:rsidP="00867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67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E06" w:rsidRPr="00867E06" w:rsidRDefault="00867E06" w:rsidP="00867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67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84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E06" w:rsidRPr="00867E06" w:rsidRDefault="00867E06" w:rsidP="00867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67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12.650.329,31</w:t>
            </w:r>
          </w:p>
        </w:tc>
      </w:tr>
      <w:tr w:rsidR="00867E06" w:rsidRPr="00867E06" w:rsidTr="00867E06">
        <w:trPr>
          <w:trHeight w:val="40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7E06" w:rsidRPr="00867E06" w:rsidRDefault="00867E06" w:rsidP="00867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67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7E06" w:rsidRPr="00867E06" w:rsidRDefault="00867E06" w:rsidP="00867E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7E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50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7E06" w:rsidRPr="00867E06" w:rsidRDefault="00867E06" w:rsidP="00867E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67E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7.864.904,22  </w:t>
            </w:r>
          </w:p>
        </w:tc>
      </w:tr>
      <w:tr w:rsidR="00867E06" w:rsidRPr="00867E06" w:rsidTr="00867E06">
        <w:trPr>
          <w:trHeight w:val="40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E06" w:rsidRPr="00867E06" w:rsidRDefault="00867E06" w:rsidP="00867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67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E06" w:rsidRPr="00867E06" w:rsidRDefault="00867E06" w:rsidP="00867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67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E06" w:rsidRPr="00867E06" w:rsidRDefault="00867E06" w:rsidP="00867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67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115.657,77  </w:t>
            </w:r>
          </w:p>
        </w:tc>
      </w:tr>
      <w:tr w:rsidR="00867E06" w:rsidRPr="00867E06" w:rsidTr="00867E06">
        <w:trPr>
          <w:trHeight w:val="40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E06" w:rsidRPr="00867E06" w:rsidRDefault="00867E06" w:rsidP="00867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67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E06" w:rsidRPr="00867E06" w:rsidRDefault="00867E06" w:rsidP="00867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67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E06" w:rsidRPr="00867E06" w:rsidRDefault="00867E06" w:rsidP="00867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67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667.957,59  </w:t>
            </w:r>
          </w:p>
        </w:tc>
      </w:tr>
      <w:tr w:rsidR="00867E06" w:rsidRPr="00867E06" w:rsidTr="00867E06">
        <w:trPr>
          <w:trHeight w:val="40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E06" w:rsidRPr="00867E06" w:rsidRDefault="00867E06" w:rsidP="00867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67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E06" w:rsidRPr="00867E06" w:rsidRDefault="00867E06" w:rsidP="00867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67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28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E06" w:rsidRPr="00867E06" w:rsidRDefault="00867E06" w:rsidP="00867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67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4.398.233,67  </w:t>
            </w:r>
          </w:p>
        </w:tc>
      </w:tr>
      <w:tr w:rsidR="00867E06" w:rsidRPr="00867E06" w:rsidTr="00867E06">
        <w:trPr>
          <w:trHeight w:val="40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E06" w:rsidRPr="00867E06" w:rsidRDefault="00867E06" w:rsidP="00867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67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E06" w:rsidRPr="00867E06" w:rsidRDefault="00867E06" w:rsidP="00867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67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E06" w:rsidRPr="00867E06" w:rsidRDefault="00867E06" w:rsidP="00867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67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303.160,30  </w:t>
            </w:r>
          </w:p>
        </w:tc>
      </w:tr>
      <w:tr w:rsidR="00867E06" w:rsidRPr="00867E06" w:rsidTr="00867E06">
        <w:trPr>
          <w:trHeight w:val="40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E06" w:rsidRPr="00867E06" w:rsidRDefault="00867E06" w:rsidP="00867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67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E06" w:rsidRPr="00867E06" w:rsidRDefault="00867E06" w:rsidP="00867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67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E06" w:rsidRPr="00867E06" w:rsidRDefault="00867E06" w:rsidP="00867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867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2.379.894,90  </w:t>
            </w:r>
          </w:p>
        </w:tc>
      </w:tr>
    </w:tbl>
    <w:p w:rsidR="005B3BCB" w:rsidRDefault="005B3BCB" w:rsidP="00FB4C98">
      <w:pPr>
        <w:spacing w:after="0" w:line="240" w:lineRule="auto"/>
        <w:rPr>
          <w:rFonts w:ascii="Arial" w:hAnsi="Arial" w:cs="Arial"/>
          <w:b/>
          <w:bCs/>
        </w:rPr>
      </w:pPr>
    </w:p>
    <w:sectPr w:rsidR="005B3B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936" w:rsidRDefault="009F7936" w:rsidP="009F7936">
      <w:pPr>
        <w:spacing w:after="0" w:line="240" w:lineRule="auto"/>
      </w:pPr>
      <w:r>
        <w:separator/>
      </w:r>
    </w:p>
  </w:endnote>
  <w:endnote w:type="continuationSeparator" w:id="0">
    <w:p w:rsidR="009F7936" w:rsidRDefault="009F7936" w:rsidP="009F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936" w:rsidRDefault="009F7936" w:rsidP="009F7936">
      <w:pPr>
        <w:spacing w:after="0" w:line="240" w:lineRule="auto"/>
      </w:pPr>
      <w:r>
        <w:separator/>
      </w:r>
    </w:p>
  </w:footnote>
  <w:footnote w:type="continuationSeparator" w:id="0">
    <w:p w:rsidR="009F7936" w:rsidRDefault="009F7936" w:rsidP="009F7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936" w:rsidRDefault="009F7936" w:rsidP="009F7936">
    <w:pPr>
      <w:pStyle w:val="Encabezado"/>
      <w:ind w:left="-709"/>
      <w:rPr>
        <w:lang w:val="es-ES_tradnl"/>
      </w:rPr>
    </w:pPr>
    <w:r>
      <w:rPr>
        <w:noProof/>
        <w:lang w:eastAsia="es-ES"/>
      </w:rPr>
      <w:drawing>
        <wp:inline distT="0" distB="0" distL="0" distR="0" wp14:anchorId="20B82440" wp14:editId="535372CE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                                      </w:t>
    </w:r>
    <w:r>
      <w:rPr>
        <w:noProof/>
        <w:lang w:eastAsia="es-ES"/>
      </w:rPr>
      <w:drawing>
        <wp:inline distT="0" distB="0" distL="0" distR="0" wp14:anchorId="43683495" wp14:editId="0FB6199D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7936" w:rsidRDefault="009F7936" w:rsidP="009F7936">
    <w:pPr>
      <w:pStyle w:val="Encabezado"/>
      <w:ind w:left="-709"/>
      <w:rPr>
        <w:lang w:val="es-ES_tradnl"/>
      </w:rPr>
    </w:pPr>
  </w:p>
  <w:p w:rsidR="009F7936" w:rsidRPr="009F7936" w:rsidRDefault="009F7936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0A"/>
    <w:rsid w:val="00021DB9"/>
    <w:rsid w:val="0005545B"/>
    <w:rsid w:val="00063504"/>
    <w:rsid w:val="0006724E"/>
    <w:rsid w:val="00093C77"/>
    <w:rsid w:val="000A15B6"/>
    <w:rsid w:val="000E6029"/>
    <w:rsid w:val="00111EF7"/>
    <w:rsid w:val="00122A62"/>
    <w:rsid w:val="0013490E"/>
    <w:rsid w:val="00137031"/>
    <w:rsid w:val="0015170A"/>
    <w:rsid w:val="00173485"/>
    <w:rsid w:val="001A3910"/>
    <w:rsid w:val="001B4DE3"/>
    <w:rsid w:val="001D6A5F"/>
    <w:rsid w:val="00201C25"/>
    <w:rsid w:val="00234FA3"/>
    <w:rsid w:val="0025614A"/>
    <w:rsid w:val="00264CDE"/>
    <w:rsid w:val="00295230"/>
    <w:rsid w:val="002964BF"/>
    <w:rsid w:val="002A0E8D"/>
    <w:rsid w:val="002D36FC"/>
    <w:rsid w:val="002E4BF5"/>
    <w:rsid w:val="00305779"/>
    <w:rsid w:val="0031670D"/>
    <w:rsid w:val="00333833"/>
    <w:rsid w:val="00334C8B"/>
    <w:rsid w:val="00335475"/>
    <w:rsid w:val="00342CC9"/>
    <w:rsid w:val="0035085A"/>
    <w:rsid w:val="003A45BF"/>
    <w:rsid w:val="003D30FB"/>
    <w:rsid w:val="003F3364"/>
    <w:rsid w:val="003F5007"/>
    <w:rsid w:val="0042299B"/>
    <w:rsid w:val="00447771"/>
    <w:rsid w:val="004643DA"/>
    <w:rsid w:val="00464BF9"/>
    <w:rsid w:val="0047470E"/>
    <w:rsid w:val="004759C5"/>
    <w:rsid w:val="004876A3"/>
    <w:rsid w:val="004B36BE"/>
    <w:rsid w:val="004C1723"/>
    <w:rsid w:val="004C344C"/>
    <w:rsid w:val="004D11B4"/>
    <w:rsid w:val="004F40A2"/>
    <w:rsid w:val="00532B85"/>
    <w:rsid w:val="00537E24"/>
    <w:rsid w:val="005428F9"/>
    <w:rsid w:val="005B2C9C"/>
    <w:rsid w:val="005B36B0"/>
    <w:rsid w:val="005B3BCB"/>
    <w:rsid w:val="005E2109"/>
    <w:rsid w:val="005E6435"/>
    <w:rsid w:val="00605523"/>
    <w:rsid w:val="00615EFA"/>
    <w:rsid w:val="00622338"/>
    <w:rsid w:val="00650FCF"/>
    <w:rsid w:val="00653862"/>
    <w:rsid w:val="00670E77"/>
    <w:rsid w:val="00692D2C"/>
    <w:rsid w:val="006B0226"/>
    <w:rsid w:val="006C2DB0"/>
    <w:rsid w:val="007737CF"/>
    <w:rsid w:val="007A4D85"/>
    <w:rsid w:val="007C7B3C"/>
    <w:rsid w:val="008604A8"/>
    <w:rsid w:val="00867E06"/>
    <w:rsid w:val="00870D33"/>
    <w:rsid w:val="00874266"/>
    <w:rsid w:val="00876E80"/>
    <w:rsid w:val="00886BE7"/>
    <w:rsid w:val="008C1FA6"/>
    <w:rsid w:val="008E2E84"/>
    <w:rsid w:val="008F4661"/>
    <w:rsid w:val="00911323"/>
    <w:rsid w:val="0097234B"/>
    <w:rsid w:val="009752C5"/>
    <w:rsid w:val="0099285F"/>
    <w:rsid w:val="009A58C9"/>
    <w:rsid w:val="009C2913"/>
    <w:rsid w:val="009C4C6F"/>
    <w:rsid w:val="009D3437"/>
    <w:rsid w:val="009E0F3D"/>
    <w:rsid w:val="009F7936"/>
    <w:rsid w:val="00A01752"/>
    <w:rsid w:val="00A03B76"/>
    <w:rsid w:val="00A04061"/>
    <w:rsid w:val="00A35D7B"/>
    <w:rsid w:val="00A66E81"/>
    <w:rsid w:val="00A723D0"/>
    <w:rsid w:val="00A74B1A"/>
    <w:rsid w:val="00A75693"/>
    <w:rsid w:val="00A76550"/>
    <w:rsid w:val="00AA0001"/>
    <w:rsid w:val="00AE29F9"/>
    <w:rsid w:val="00AE36A4"/>
    <w:rsid w:val="00AE6DAE"/>
    <w:rsid w:val="00B05A86"/>
    <w:rsid w:val="00B215BB"/>
    <w:rsid w:val="00B248EB"/>
    <w:rsid w:val="00B348D5"/>
    <w:rsid w:val="00B5665A"/>
    <w:rsid w:val="00B65454"/>
    <w:rsid w:val="00B6701D"/>
    <w:rsid w:val="00BD76DA"/>
    <w:rsid w:val="00BE2773"/>
    <w:rsid w:val="00C018B4"/>
    <w:rsid w:val="00C10952"/>
    <w:rsid w:val="00C43F38"/>
    <w:rsid w:val="00C457FC"/>
    <w:rsid w:val="00C512D1"/>
    <w:rsid w:val="00C60713"/>
    <w:rsid w:val="00C7638A"/>
    <w:rsid w:val="00C83635"/>
    <w:rsid w:val="00CA47EC"/>
    <w:rsid w:val="00CB6C48"/>
    <w:rsid w:val="00CC27E6"/>
    <w:rsid w:val="00CF21BE"/>
    <w:rsid w:val="00D511D2"/>
    <w:rsid w:val="00D72A28"/>
    <w:rsid w:val="00D74857"/>
    <w:rsid w:val="00DC6154"/>
    <w:rsid w:val="00DF3D0F"/>
    <w:rsid w:val="00E36CF8"/>
    <w:rsid w:val="00E5178D"/>
    <w:rsid w:val="00E57128"/>
    <w:rsid w:val="00E57DED"/>
    <w:rsid w:val="00E64F9F"/>
    <w:rsid w:val="00E659E1"/>
    <w:rsid w:val="00E66635"/>
    <w:rsid w:val="00EA0228"/>
    <w:rsid w:val="00EB5409"/>
    <w:rsid w:val="00EE4DB7"/>
    <w:rsid w:val="00F371A2"/>
    <w:rsid w:val="00F72257"/>
    <w:rsid w:val="00F955C7"/>
    <w:rsid w:val="00FA64B5"/>
    <w:rsid w:val="00FA730B"/>
    <w:rsid w:val="00FB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63D171DA-2F32-47FE-82E9-F296B7B1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7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0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FC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F7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936"/>
  </w:style>
  <w:style w:type="paragraph" w:styleId="Piedepgina">
    <w:name w:val="footer"/>
    <w:basedOn w:val="Normal"/>
    <w:link w:val="PiedepginaCar"/>
    <w:uiPriority w:val="99"/>
    <w:unhideWhenUsed/>
    <w:rsid w:val="009F7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4D26B-9AAE-4111-9344-C5EEE112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Francisco de la Torre de la Vega</cp:lastModifiedBy>
  <cp:revision>10</cp:revision>
  <cp:lastPrinted>2018-05-03T10:44:00Z</cp:lastPrinted>
  <dcterms:created xsi:type="dcterms:W3CDTF">2018-05-03T08:24:00Z</dcterms:created>
  <dcterms:modified xsi:type="dcterms:W3CDTF">2019-10-04T11:15:00Z</dcterms:modified>
</cp:coreProperties>
</file>