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33" w:rsidRPr="005B3BCB" w:rsidRDefault="00333833" w:rsidP="0033383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1.- </w:t>
      </w:r>
      <w:r>
        <w:rPr>
          <w:rFonts w:ascii="Arial" w:hAnsi="Arial" w:cs="Arial"/>
          <w:b/>
          <w:bCs/>
          <w:color w:val="2F5496" w:themeColor="accent5" w:themeShade="BF"/>
        </w:rPr>
        <w:t>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333833" w:rsidRDefault="00333833" w:rsidP="0033383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33833">
        <w:rPr>
          <w:rFonts w:ascii="Arial" w:hAnsi="Arial" w:cs="Arial"/>
          <w:bCs/>
        </w:rPr>
        <w:t>Resolución de 21/03/2018, de la Viceconsejería de Medio Ambiente, por la que se aprueba la convocatoria de</w:t>
      </w:r>
      <w:r>
        <w:rPr>
          <w:rFonts w:ascii="Arial" w:hAnsi="Arial" w:cs="Arial"/>
          <w:bCs/>
        </w:rPr>
        <w:t xml:space="preserve"> </w:t>
      </w:r>
      <w:r w:rsidRPr="00333833">
        <w:rPr>
          <w:rFonts w:ascii="Arial" w:hAnsi="Arial" w:cs="Arial"/>
          <w:b/>
          <w:bCs/>
          <w:u w:val="single"/>
        </w:rPr>
        <w:t>expresiones de interés</w:t>
      </w:r>
      <w:r w:rsidRPr="00333833">
        <w:rPr>
          <w:rFonts w:ascii="Arial" w:hAnsi="Arial" w:cs="Arial"/>
          <w:bCs/>
        </w:rPr>
        <w:t xml:space="preserve"> para la selección y ejecución de proyectos para la mejora de la </w:t>
      </w:r>
      <w:r w:rsidRPr="00333833">
        <w:rPr>
          <w:rFonts w:ascii="Arial" w:hAnsi="Arial" w:cs="Arial"/>
          <w:b/>
          <w:bCs/>
        </w:rPr>
        <w:t>gestión de residuos domésticos y residuos de construcción y demolición</w:t>
      </w:r>
      <w:r w:rsidRPr="00333833">
        <w:rPr>
          <w:rFonts w:ascii="Arial" w:hAnsi="Arial" w:cs="Arial"/>
          <w:bCs/>
        </w:rPr>
        <w:t>, por parte de las entidades locales de la comunidad</w:t>
      </w:r>
      <w:r>
        <w:rPr>
          <w:rFonts w:ascii="Arial" w:hAnsi="Arial" w:cs="Arial"/>
          <w:bCs/>
        </w:rPr>
        <w:t xml:space="preserve"> </w:t>
      </w:r>
      <w:r w:rsidRPr="00333833">
        <w:rPr>
          <w:rFonts w:ascii="Arial" w:hAnsi="Arial" w:cs="Arial"/>
          <w:bCs/>
        </w:rPr>
        <w:t>autónoma de Castilla-La Mancha, en el marco del Programa Operativo FEDER Castilla-La Mancha 2014-2020.</w:t>
      </w:r>
      <w:r w:rsidR="006117F9">
        <w:rPr>
          <w:rFonts w:ascii="Arial" w:hAnsi="Arial" w:cs="Arial"/>
          <w:bCs/>
        </w:rPr>
        <w:t xml:space="preserve"> </w:t>
      </w:r>
      <w:hyperlink r:id="rId8" w:history="1">
        <w:r w:rsidRPr="0003501C">
          <w:rPr>
            <w:rStyle w:val="Hipervnculo"/>
            <w:rFonts w:ascii="Arial" w:hAnsi="Arial" w:cs="Arial"/>
            <w:bCs/>
            <w:color w:val="000099"/>
          </w:rPr>
          <w:t xml:space="preserve">DOCM </w:t>
        </w:r>
        <w:r w:rsidR="0003501C" w:rsidRPr="0003501C">
          <w:rPr>
            <w:rStyle w:val="Hipervnculo"/>
            <w:rFonts w:ascii="Arial" w:hAnsi="Arial" w:cs="Arial"/>
            <w:bCs/>
            <w:color w:val="000099"/>
          </w:rPr>
          <w:t>núm. 61, del día 27 de marzo</w:t>
        </w:r>
      </w:hyperlink>
      <w:r w:rsidR="0003501C">
        <w:rPr>
          <w:rFonts w:ascii="Arial" w:hAnsi="Arial" w:cs="Arial"/>
          <w:bCs/>
        </w:rPr>
        <w:t>.</w:t>
      </w:r>
    </w:p>
    <w:p w:rsidR="006117F9" w:rsidRDefault="006117F9" w:rsidP="00333833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333833" w:rsidRDefault="00333833" w:rsidP="0033383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333833" w:rsidRPr="00C83635" w:rsidRDefault="00B05A86" w:rsidP="00333833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Viceconsejería de Medio Ambiente.</w:t>
      </w:r>
    </w:p>
    <w:p w:rsidR="00333833" w:rsidRDefault="00333833" w:rsidP="0033383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Consejería de </w:t>
      </w:r>
      <w:r w:rsidR="00B05A86">
        <w:rPr>
          <w:rFonts w:ascii="Arial" w:hAnsi="Arial" w:cs="Arial"/>
          <w:bCs/>
        </w:rPr>
        <w:t>Agricultura, Medio Ambiente y Desarrollo Rural.</w:t>
      </w:r>
    </w:p>
    <w:p w:rsidR="006117F9" w:rsidRDefault="006117F9" w:rsidP="00333833">
      <w:pPr>
        <w:spacing w:after="0" w:line="240" w:lineRule="auto"/>
        <w:jc w:val="both"/>
        <w:rPr>
          <w:rFonts w:ascii="Arial" w:hAnsi="Arial" w:cs="Arial"/>
          <w:bCs/>
        </w:rPr>
      </w:pPr>
    </w:p>
    <w:p w:rsidR="00333833" w:rsidRPr="005B3BCB" w:rsidRDefault="00333833" w:rsidP="0033383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B05A86" w:rsidRPr="00342CC9" w:rsidRDefault="00B05A86" w:rsidP="00B05A86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B05A86">
        <w:rPr>
          <w:rFonts w:ascii="Arial" w:hAnsi="Arial" w:cs="Arial"/>
          <w:bCs/>
        </w:rPr>
        <w:t xml:space="preserve">Los recursos disponibles para esta convocatoria ascienden a </w:t>
      </w:r>
      <w:r w:rsidRPr="00B05A86">
        <w:rPr>
          <w:rFonts w:ascii="Arial" w:hAnsi="Arial" w:cs="Arial"/>
          <w:b/>
          <w:bCs/>
        </w:rPr>
        <w:t>25.000.000 euros</w:t>
      </w:r>
      <w:r w:rsidRPr="00B05A86">
        <w:rPr>
          <w:rFonts w:ascii="Arial" w:hAnsi="Arial" w:cs="Arial"/>
          <w:bCs/>
        </w:rPr>
        <w:t xml:space="preserve">, de los cuales </w:t>
      </w:r>
      <w:r w:rsidRPr="0003501C">
        <w:rPr>
          <w:rFonts w:ascii="Arial" w:hAnsi="Arial" w:cs="Arial"/>
          <w:b/>
          <w:bCs/>
        </w:rPr>
        <w:t>23.000.000 euros</w:t>
      </w:r>
      <w:r w:rsidRPr="00B05A86">
        <w:rPr>
          <w:rFonts w:ascii="Arial" w:hAnsi="Arial" w:cs="Arial"/>
          <w:bCs/>
        </w:rPr>
        <w:t xml:space="preserve"> se destinarán</w:t>
      </w:r>
      <w:r>
        <w:rPr>
          <w:rFonts w:ascii="Arial" w:hAnsi="Arial" w:cs="Arial"/>
          <w:bCs/>
        </w:rPr>
        <w:t xml:space="preserve"> </w:t>
      </w:r>
      <w:r w:rsidRPr="00B05A86">
        <w:rPr>
          <w:rFonts w:ascii="Arial" w:hAnsi="Arial" w:cs="Arial"/>
          <w:bCs/>
        </w:rPr>
        <w:t xml:space="preserve">para el Programa de gestión de residuos domésticos y </w:t>
      </w:r>
      <w:r w:rsidRPr="0003501C">
        <w:rPr>
          <w:rFonts w:ascii="Arial" w:hAnsi="Arial" w:cs="Arial"/>
          <w:b/>
          <w:bCs/>
        </w:rPr>
        <w:t>2.000.000 euros</w:t>
      </w:r>
      <w:r w:rsidRPr="00B05A86">
        <w:rPr>
          <w:rFonts w:ascii="Arial" w:hAnsi="Arial" w:cs="Arial"/>
          <w:bCs/>
        </w:rPr>
        <w:t xml:space="preserve"> para el Programa de gestión de residuos</w:t>
      </w:r>
      <w:r>
        <w:rPr>
          <w:rFonts w:ascii="Arial" w:hAnsi="Arial" w:cs="Arial"/>
          <w:bCs/>
        </w:rPr>
        <w:t xml:space="preserve"> </w:t>
      </w:r>
      <w:r w:rsidRPr="00B05A86">
        <w:rPr>
          <w:rFonts w:ascii="Arial" w:hAnsi="Arial" w:cs="Arial"/>
          <w:bCs/>
        </w:rPr>
        <w:t>de construcción y demolición.</w:t>
      </w:r>
    </w:p>
    <w:p w:rsidR="00333833" w:rsidRPr="005B3BCB" w:rsidRDefault="00333833" w:rsidP="0033383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333833" w:rsidRPr="00E57128" w:rsidRDefault="00187831" w:rsidP="00333833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 12</w:t>
      </w:r>
      <w:r w:rsidR="005E2109">
        <w:rPr>
          <w:rFonts w:ascii="Arial" w:hAnsi="Arial" w:cs="Arial"/>
          <w:b/>
          <w:bCs/>
        </w:rPr>
        <w:t xml:space="preserve"> de abril de 2018 al 13</w:t>
      </w:r>
      <w:r w:rsidR="00E57128" w:rsidRPr="00E57128">
        <w:rPr>
          <w:rFonts w:ascii="Arial" w:hAnsi="Arial" w:cs="Arial"/>
          <w:b/>
          <w:bCs/>
        </w:rPr>
        <w:t xml:space="preserve"> de Agosto de 2018.</w:t>
      </w:r>
    </w:p>
    <w:p w:rsidR="00305779" w:rsidRPr="005B3BCB" w:rsidRDefault="00305779" w:rsidP="0030577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5.- BENEFICIARIOS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305779" w:rsidRDefault="00305779" w:rsidP="00305779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305779">
        <w:rPr>
          <w:rFonts w:ascii="Arial" w:hAnsi="Arial" w:cs="Arial"/>
          <w:bCs/>
        </w:rPr>
        <w:t>Las Entidades Locales de Castilla-La Mancha: los Ayuntamientos, Diputaciones Provinciales, Mancomunidades de municipios</w:t>
      </w:r>
      <w:r>
        <w:rPr>
          <w:rFonts w:ascii="Arial" w:hAnsi="Arial" w:cs="Arial"/>
          <w:bCs/>
        </w:rPr>
        <w:t xml:space="preserve"> </w:t>
      </w:r>
      <w:r w:rsidRPr="00305779">
        <w:rPr>
          <w:rFonts w:ascii="Arial" w:hAnsi="Arial" w:cs="Arial"/>
          <w:bCs/>
        </w:rPr>
        <w:t>y Consorcios de Castilla-La Mancha responsables de la gestión de residuos domésticos y/o residuos de construcción</w:t>
      </w:r>
      <w:r>
        <w:rPr>
          <w:rFonts w:ascii="Arial" w:hAnsi="Arial" w:cs="Arial"/>
          <w:bCs/>
        </w:rPr>
        <w:t xml:space="preserve"> </w:t>
      </w:r>
      <w:r w:rsidRPr="00305779">
        <w:rPr>
          <w:rFonts w:ascii="Arial" w:hAnsi="Arial" w:cs="Arial"/>
          <w:bCs/>
        </w:rPr>
        <w:t>y demolición</w:t>
      </w:r>
    </w:p>
    <w:p w:rsidR="006117F9" w:rsidRPr="00305779" w:rsidRDefault="006117F9" w:rsidP="00305779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333833" w:rsidRPr="005B3BCB" w:rsidRDefault="00305779" w:rsidP="0033383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="00333833"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3F5007" w:rsidRPr="0003501C" w:rsidRDefault="003F5007" w:rsidP="0003501C">
      <w:pPr>
        <w:pStyle w:val="Prrafodelista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u w:val="single"/>
        </w:rPr>
      </w:pPr>
      <w:r w:rsidRPr="0003501C">
        <w:rPr>
          <w:rFonts w:ascii="Arial" w:hAnsi="Arial" w:cs="Arial"/>
          <w:bCs/>
          <w:u w:val="single"/>
        </w:rPr>
        <w:t>Programa de gestión de residuos domésticos:</w:t>
      </w:r>
    </w:p>
    <w:p w:rsidR="003F5007" w:rsidRPr="003F5007" w:rsidRDefault="003F5007" w:rsidP="0003501C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F5007">
        <w:rPr>
          <w:rFonts w:ascii="Arial" w:hAnsi="Arial" w:cs="Arial"/>
          <w:bCs/>
        </w:rPr>
        <w:t>Serán actuaciones elegibles:</w:t>
      </w:r>
    </w:p>
    <w:p w:rsidR="003F5007" w:rsidRPr="0017135D" w:rsidRDefault="003F5007" w:rsidP="0003501C">
      <w:pPr>
        <w:pStyle w:val="Prrafodelista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17135D">
        <w:rPr>
          <w:rFonts w:ascii="Arial" w:hAnsi="Arial" w:cs="Arial"/>
          <w:bCs/>
        </w:rPr>
        <w:t xml:space="preserve">La optimización de la recogida selectiva y del transporte de los residuos domésticos, con especial interés en los proyectos que posibiliten la recogida selectiva de los </w:t>
      </w:r>
      <w:proofErr w:type="spellStart"/>
      <w:r w:rsidRPr="0017135D">
        <w:rPr>
          <w:rFonts w:ascii="Arial" w:hAnsi="Arial" w:cs="Arial"/>
          <w:bCs/>
        </w:rPr>
        <w:t>biorresiduos</w:t>
      </w:r>
      <w:proofErr w:type="spellEnd"/>
      <w:r w:rsidRPr="0017135D">
        <w:rPr>
          <w:rFonts w:ascii="Arial" w:hAnsi="Arial" w:cs="Arial"/>
          <w:bCs/>
        </w:rPr>
        <w:t xml:space="preserve"> para su posterior tratamiento de forma separada del resto de los residuos domésticos.</w:t>
      </w:r>
    </w:p>
    <w:p w:rsidR="00333833" w:rsidRDefault="003F5007" w:rsidP="0003501C">
      <w:pPr>
        <w:pStyle w:val="Prrafodelista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17135D">
        <w:rPr>
          <w:rFonts w:ascii="Arial" w:hAnsi="Arial" w:cs="Arial"/>
          <w:bCs/>
        </w:rPr>
        <w:t xml:space="preserve">La optimización de los centros de tratamiento de residuos domésticos, con especial interés en los proyectos que permitan tratar los </w:t>
      </w:r>
      <w:proofErr w:type="spellStart"/>
      <w:r w:rsidRPr="0017135D">
        <w:rPr>
          <w:rFonts w:ascii="Arial" w:hAnsi="Arial" w:cs="Arial"/>
          <w:bCs/>
        </w:rPr>
        <w:t>biorresiduos</w:t>
      </w:r>
      <w:proofErr w:type="spellEnd"/>
      <w:r w:rsidRPr="0017135D">
        <w:rPr>
          <w:rFonts w:ascii="Arial" w:hAnsi="Arial" w:cs="Arial"/>
          <w:bCs/>
        </w:rPr>
        <w:t xml:space="preserve"> recogidos selectivamente de forma diferenciada del resto de los residuos domésticos.</w:t>
      </w:r>
    </w:p>
    <w:p w:rsidR="00CA47EC" w:rsidRPr="0003501C" w:rsidRDefault="00CA47EC" w:rsidP="0003501C">
      <w:pPr>
        <w:pStyle w:val="Prrafodelista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u w:val="single"/>
        </w:rPr>
      </w:pPr>
      <w:r w:rsidRPr="0003501C">
        <w:rPr>
          <w:rFonts w:ascii="Arial" w:hAnsi="Arial" w:cs="Arial"/>
          <w:bCs/>
          <w:u w:val="single"/>
        </w:rPr>
        <w:t>Programa de gestión de residuos de construcción y demolición.</w:t>
      </w:r>
    </w:p>
    <w:p w:rsidR="007A4D85" w:rsidRDefault="00CA47EC" w:rsidP="0003501C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A47EC">
        <w:rPr>
          <w:rFonts w:ascii="Arial" w:hAnsi="Arial" w:cs="Arial"/>
          <w:bCs/>
        </w:rPr>
        <w:t>Actuaciones de mejora de la gestión de los residuos de construcción y demolición en Castilla-La Mancha, que permitan</w:t>
      </w:r>
      <w:r>
        <w:rPr>
          <w:rFonts w:ascii="Arial" w:hAnsi="Arial" w:cs="Arial"/>
          <w:bCs/>
        </w:rPr>
        <w:t xml:space="preserve"> </w:t>
      </w:r>
      <w:r w:rsidRPr="00CA47EC">
        <w:rPr>
          <w:rFonts w:ascii="Arial" w:hAnsi="Arial" w:cs="Arial"/>
          <w:bCs/>
        </w:rPr>
        <w:t>dotar de infraestructuras para su almacenamiento tempor</w:t>
      </w:r>
      <w:r w:rsidR="007A4D85">
        <w:rPr>
          <w:rFonts w:ascii="Arial" w:hAnsi="Arial" w:cs="Arial"/>
          <w:bCs/>
        </w:rPr>
        <w:t>al y tratamiento de los mismos.</w:t>
      </w:r>
    </w:p>
    <w:p w:rsidR="00333833" w:rsidRPr="00CA47EC" w:rsidRDefault="00CA47EC" w:rsidP="0003501C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A47EC">
        <w:rPr>
          <w:rFonts w:ascii="Arial" w:hAnsi="Arial" w:cs="Arial"/>
          <w:bCs/>
        </w:rPr>
        <w:t>Serán elegibles tanto las instalaciones para el tratamiento de los residuos, como las de almacenamiento temporal</w:t>
      </w:r>
      <w:r>
        <w:rPr>
          <w:rFonts w:ascii="Arial" w:hAnsi="Arial" w:cs="Arial"/>
          <w:bCs/>
        </w:rPr>
        <w:t xml:space="preserve"> </w:t>
      </w:r>
      <w:r w:rsidRPr="00CA47EC">
        <w:rPr>
          <w:rFonts w:ascii="Arial" w:hAnsi="Arial" w:cs="Arial"/>
          <w:bCs/>
        </w:rPr>
        <w:t>de los mismos siempre que se justifique que los residuos allí almacenados serán entregados a un gestor autorizado</w:t>
      </w:r>
      <w:r>
        <w:rPr>
          <w:rFonts w:ascii="Arial" w:hAnsi="Arial" w:cs="Arial"/>
          <w:bCs/>
        </w:rPr>
        <w:t xml:space="preserve"> </w:t>
      </w:r>
      <w:r w:rsidRPr="00CA47EC">
        <w:rPr>
          <w:rFonts w:ascii="Arial" w:hAnsi="Arial" w:cs="Arial"/>
          <w:bCs/>
        </w:rPr>
        <w:t>para su posterior tratamiento.</w:t>
      </w:r>
    </w:p>
    <w:p w:rsidR="00333833" w:rsidRPr="005B3BCB" w:rsidRDefault="00305779" w:rsidP="0033383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lastRenderedPageBreak/>
        <w:t>7</w:t>
      </w:r>
      <w:r w:rsidR="00333833"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333833" w:rsidRDefault="00333833" w:rsidP="0033383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43F38">
        <w:rPr>
          <w:rFonts w:ascii="Arial" w:hAnsi="Arial" w:cs="Arial"/>
          <w:bCs/>
        </w:rPr>
        <w:t>La contribución, en su caso, de la operación al cumplimiento de los objetivos marcados para cada una de las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zonas identificadas dentro del territorio ITI, para lo cual los órganos gestores responsables tendrán en cuenta los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informes emitidos por los órganos creados por el Decreto 31/2017, de 25 de abril, por el que se establece el procedimiento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 xml:space="preserve">de gobernanza de la ITI: </w:t>
      </w:r>
      <w:r w:rsidR="0003501C">
        <w:rPr>
          <w:rFonts w:ascii="Arial" w:hAnsi="Arial" w:cs="Arial"/>
          <w:bCs/>
        </w:rPr>
        <w:t>s</w:t>
      </w:r>
      <w:r w:rsidRPr="00C43F38">
        <w:rPr>
          <w:rFonts w:ascii="Arial" w:hAnsi="Arial" w:cs="Arial"/>
          <w:bCs/>
        </w:rPr>
        <w:t xml:space="preserve">e valorará con </w:t>
      </w:r>
      <w:r w:rsidRPr="0003501C">
        <w:rPr>
          <w:rFonts w:ascii="Arial" w:hAnsi="Arial" w:cs="Arial"/>
          <w:b/>
          <w:bCs/>
        </w:rPr>
        <w:t>20 puntos</w:t>
      </w:r>
      <w:r w:rsidRPr="00C43F38">
        <w:rPr>
          <w:rFonts w:ascii="Arial" w:hAnsi="Arial" w:cs="Arial"/>
          <w:bCs/>
        </w:rPr>
        <w:t>.</w:t>
      </w:r>
      <w:r w:rsidR="006117F9"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En el caso de solicitudes que incluyan más de un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municipio, la puntuación se otorgará en proporción al número de municipios incluidos dentro del territorio ITI sobre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el total de municipios integrados en la solicitud.</w:t>
      </w:r>
    </w:p>
    <w:p w:rsidR="00333833" w:rsidRPr="005B3BCB" w:rsidRDefault="00305779" w:rsidP="0033383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="00333833"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333833" w:rsidRDefault="00E57DED" w:rsidP="00E57DED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E57DED">
        <w:rPr>
          <w:rFonts w:ascii="Arial" w:hAnsi="Arial" w:cs="Arial"/>
          <w:bCs/>
        </w:rPr>
        <w:t>A la vista de la propuesta de resolución definitiva, la persona titular del órgano gestor competente en la materia,</w:t>
      </w:r>
      <w:r>
        <w:rPr>
          <w:rFonts w:ascii="Arial" w:hAnsi="Arial" w:cs="Arial"/>
          <w:bCs/>
        </w:rPr>
        <w:t xml:space="preserve"> </w:t>
      </w:r>
      <w:r w:rsidRPr="00E57DED">
        <w:rPr>
          <w:rFonts w:ascii="Arial" w:hAnsi="Arial" w:cs="Arial"/>
          <w:bCs/>
        </w:rPr>
        <w:t>emitirá la resolución estimatoria o desestimatoria de selección de la operación, para ello</w:t>
      </w:r>
      <w:r>
        <w:rPr>
          <w:rFonts w:ascii="Arial" w:hAnsi="Arial" w:cs="Arial"/>
          <w:bCs/>
        </w:rPr>
        <w:t xml:space="preserve"> </w:t>
      </w:r>
      <w:r w:rsidRPr="00E57DED">
        <w:rPr>
          <w:rFonts w:ascii="Arial" w:hAnsi="Arial" w:cs="Arial"/>
          <w:bCs/>
        </w:rPr>
        <w:t xml:space="preserve">dispondrá de un plazo máximo de </w:t>
      </w:r>
      <w:r w:rsidRPr="0003501C">
        <w:rPr>
          <w:rFonts w:ascii="Arial" w:hAnsi="Arial" w:cs="Arial"/>
          <w:b/>
          <w:bCs/>
          <w:u w:val="single"/>
        </w:rPr>
        <w:t>cuatro meses</w:t>
      </w:r>
      <w:r w:rsidRPr="00E57DED">
        <w:rPr>
          <w:rFonts w:ascii="Arial" w:hAnsi="Arial" w:cs="Arial"/>
          <w:bCs/>
        </w:rPr>
        <w:t>, a contar desde la fecha de finalización del plazo para presentar</w:t>
      </w:r>
      <w:r>
        <w:rPr>
          <w:rFonts w:ascii="Arial" w:hAnsi="Arial" w:cs="Arial"/>
          <w:bCs/>
        </w:rPr>
        <w:t xml:space="preserve"> </w:t>
      </w:r>
      <w:r w:rsidRPr="00E57DED">
        <w:rPr>
          <w:rFonts w:ascii="Arial" w:hAnsi="Arial" w:cs="Arial"/>
          <w:bCs/>
        </w:rPr>
        <w:t>solicitudes. El vencimiento del plazo máximo sin haberse notificado resolución expresa, legitima a las entidades</w:t>
      </w:r>
      <w:r>
        <w:rPr>
          <w:rFonts w:ascii="Arial" w:hAnsi="Arial" w:cs="Arial"/>
          <w:bCs/>
        </w:rPr>
        <w:t xml:space="preserve"> </w:t>
      </w:r>
      <w:r w:rsidRPr="00E57DED">
        <w:rPr>
          <w:rFonts w:ascii="Arial" w:hAnsi="Arial" w:cs="Arial"/>
          <w:bCs/>
        </w:rPr>
        <w:t>interesadas para entenderla desestimada por silencio administrativo.</w:t>
      </w:r>
    </w:p>
    <w:p w:rsidR="00E04DFD" w:rsidRDefault="00E04DFD" w:rsidP="00E04DFD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PLAZO DE EJECUCIÓN PROYECTOS:</w:t>
      </w:r>
    </w:p>
    <w:p w:rsidR="00E04DFD" w:rsidRDefault="00E04DFD" w:rsidP="00E04DF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plazo de ejecución del proyecto será como </w:t>
      </w:r>
      <w:r>
        <w:rPr>
          <w:rFonts w:ascii="Arial" w:hAnsi="Arial" w:cs="Arial"/>
          <w:b/>
          <w:bCs/>
        </w:rPr>
        <w:t>máximo de 24 meses</w:t>
      </w:r>
      <w:r>
        <w:rPr>
          <w:rFonts w:ascii="Arial" w:hAnsi="Arial" w:cs="Arial"/>
          <w:bCs/>
        </w:rPr>
        <w:t xml:space="preserve"> desde la fecha de resolución.</w:t>
      </w:r>
    </w:p>
    <w:p w:rsidR="00333833" w:rsidRPr="005B3BCB" w:rsidRDefault="0003501C" w:rsidP="0033383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  <w:r>
        <w:rPr>
          <w:rFonts w:ascii="Arial" w:hAnsi="Arial" w:cs="Arial"/>
          <w:b/>
          <w:bCs/>
          <w:color w:val="2F5496" w:themeColor="accent5" w:themeShade="BF"/>
        </w:rPr>
        <w:t>1</w:t>
      </w:r>
      <w:r w:rsidR="00E04DFD">
        <w:rPr>
          <w:rFonts w:ascii="Arial" w:hAnsi="Arial" w:cs="Arial"/>
          <w:b/>
          <w:bCs/>
          <w:color w:val="2F5496" w:themeColor="accent5" w:themeShade="BF"/>
        </w:rPr>
        <w:t>0</w:t>
      </w:r>
      <w:r w:rsidR="00333833" w:rsidRPr="005B3BCB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333833" w:rsidRDefault="00333833">
      <w:pPr>
        <w:rPr>
          <w:rFonts w:ascii="Arial" w:hAnsi="Arial" w:cs="Arial"/>
          <w:b/>
          <w:bCs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1886"/>
        <w:gridCol w:w="3286"/>
      </w:tblGrid>
      <w:tr w:rsidR="00A51FE1" w:rsidRPr="00A51FE1" w:rsidTr="00A51FE1">
        <w:trPr>
          <w:trHeight w:val="450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Viceconsejería de Medio Ambiente</w:t>
            </w:r>
          </w:p>
        </w:tc>
      </w:tr>
      <w:tr w:rsidR="00A51FE1" w:rsidRPr="00A51FE1" w:rsidTr="00A51FE1">
        <w:trPr>
          <w:trHeight w:val="1600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lang w:eastAsia="es-ES"/>
              </w:rPr>
              <w:t xml:space="preserve">Resolución de 21/03/2018, por la que se aprueba la convocatoria de </w:t>
            </w:r>
            <w:r w:rsidRPr="00A51FE1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expresiones de interés</w:t>
            </w:r>
            <w:r w:rsidRPr="00A51FE1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para la selección y ejecución de proyectos para la mejora de la gestión de residuos domésticos y residuos de construcción y demolición, por parte de las entidades locales de la comunidad autónoma de Castilla-La Mancha, en el marco del Programa Operativo FEDER Castilla-La Mancha 2014-2020.    </w:t>
            </w:r>
          </w:p>
        </w:tc>
      </w:tr>
      <w:tr w:rsidR="00A51FE1" w:rsidRPr="00A51FE1" w:rsidTr="00A51FE1">
        <w:trPr>
          <w:trHeight w:val="300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A51FE1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DECA</w:t>
            </w:r>
          </w:p>
        </w:tc>
      </w:tr>
      <w:tr w:rsidR="00A51FE1" w:rsidRPr="00A51FE1" w:rsidTr="00A51FE1">
        <w:trPr>
          <w:trHeight w:val="315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A51FE1" w:rsidRPr="00A51FE1" w:rsidTr="00A51FE1">
        <w:trPr>
          <w:trHeight w:val="499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27.699.213,62</w:t>
            </w:r>
          </w:p>
        </w:tc>
      </w:tr>
      <w:tr w:rsidR="00A51FE1" w:rsidRPr="00A51FE1" w:rsidTr="00A51FE1">
        <w:trPr>
          <w:trHeight w:val="499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12.559.990,07  </w:t>
            </w:r>
          </w:p>
        </w:tc>
      </w:tr>
      <w:tr w:rsidR="00A51FE1" w:rsidRPr="00A51FE1" w:rsidTr="00A51FE1">
        <w:trPr>
          <w:trHeight w:val="499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1.938.464,35</w:t>
            </w:r>
          </w:p>
        </w:tc>
      </w:tr>
      <w:tr w:rsidR="00A51FE1" w:rsidRPr="00A51FE1" w:rsidTr="00A51FE1">
        <w:trPr>
          <w:trHeight w:val="499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504.646,14</w:t>
            </w:r>
          </w:p>
        </w:tc>
      </w:tr>
      <w:tr w:rsidR="00A51FE1" w:rsidRPr="00A51FE1" w:rsidTr="00A51FE1">
        <w:trPr>
          <w:trHeight w:val="499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2.256.887,69</w:t>
            </w:r>
          </w:p>
        </w:tc>
      </w:tr>
      <w:tr w:rsidR="00A51FE1" w:rsidRPr="00A51FE1" w:rsidTr="00A51FE1">
        <w:trPr>
          <w:trHeight w:val="499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2.979.345,81</w:t>
            </w:r>
          </w:p>
        </w:tc>
      </w:tr>
      <w:tr w:rsidR="00A51FE1" w:rsidRPr="00A51FE1" w:rsidTr="00A51FE1">
        <w:trPr>
          <w:trHeight w:val="499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1" w:rsidRPr="00A51FE1" w:rsidRDefault="00A51FE1" w:rsidP="00A51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51F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4.880.646,07</w:t>
            </w:r>
          </w:p>
        </w:tc>
      </w:tr>
    </w:tbl>
    <w:p w:rsidR="00464BF9" w:rsidRDefault="00464BF9" w:rsidP="006117F9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464BF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36" w:rsidRDefault="009F7936" w:rsidP="009F7936">
      <w:pPr>
        <w:spacing w:after="0" w:line="240" w:lineRule="auto"/>
      </w:pPr>
      <w:r>
        <w:separator/>
      </w:r>
    </w:p>
  </w:endnote>
  <w:end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36" w:rsidRDefault="009F7936" w:rsidP="009F7936">
      <w:pPr>
        <w:spacing w:after="0" w:line="240" w:lineRule="auto"/>
      </w:pPr>
      <w:r>
        <w:separator/>
      </w:r>
    </w:p>
  </w:footnote>
  <w:foot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36" w:rsidRDefault="009F7936" w:rsidP="0003501C">
    <w:pPr>
      <w:pStyle w:val="Encabezado"/>
      <w:tabs>
        <w:tab w:val="clear" w:pos="8504"/>
        <w:tab w:val="right" w:pos="9072"/>
      </w:tabs>
      <w:ind w:left="-709" w:right="-568"/>
      <w:rPr>
        <w:lang w:val="es-ES_tradnl"/>
      </w:rPr>
    </w:pPr>
    <w:r>
      <w:rPr>
        <w:noProof/>
        <w:lang w:eastAsia="es-ES"/>
      </w:rPr>
      <w:drawing>
        <wp:inline distT="0" distB="0" distL="0" distR="0" wp14:anchorId="49FABA56" wp14:editId="32CB59A6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</w:t>
    </w:r>
    <w:r w:rsidR="0003501C">
      <w:rPr>
        <w:lang w:val="es-ES_tradnl"/>
      </w:rPr>
      <w:t xml:space="preserve">            </w:t>
    </w:r>
    <w:r>
      <w:rPr>
        <w:lang w:val="es-ES_tradnl"/>
      </w:rPr>
      <w:t xml:space="preserve">          </w:t>
    </w:r>
    <w:r>
      <w:rPr>
        <w:noProof/>
        <w:lang w:eastAsia="es-ES"/>
      </w:rPr>
      <w:drawing>
        <wp:inline distT="0" distB="0" distL="0" distR="0" wp14:anchorId="3E3AF811" wp14:editId="774B77F1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36" w:rsidRDefault="009F7936" w:rsidP="009F7936">
    <w:pPr>
      <w:pStyle w:val="Encabezado"/>
      <w:ind w:left="-709"/>
      <w:rPr>
        <w:lang w:val="es-ES_tradnl"/>
      </w:rPr>
    </w:pPr>
  </w:p>
  <w:p w:rsidR="009F7936" w:rsidRPr="009F7936" w:rsidRDefault="009F793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4789"/>
    <w:multiLevelType w:val="hybridMultilevel"/>
    <w:tmpl w:val="5DAAD7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C59DF"/>
    <w:multiLevelType w:val="hybridMultilevel"/>
    <w:tmpl w:val="2D8C9A1E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A01E52"/>
    <w:multiLevelType w:val="hybridMultilevel"/>
    <w:tmpl w:val="01BA82DA"/>
    <w:lvl w:ilvl="0" w:tplc="3D7C20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A"/>
    <w:rsid w:val="00021DB9"/>
    <w:rsid w:val="0003501C"/>
    <w:rsid w:val="0005545B"/>
    <w:rsid w:val="00063504"/>
    <w:rsid w:val="0006724E"/>
    <w:rsid w:val="00093C77"/>
    <w:rsid w:val="000A15B6"/>
    <w:rsid w:val="000E6029"/>
    <w:rsid w:val="00111EF7"/>
    <w:rsid w:val="00122A62"/>
    <w:rsid w:val="0013490E"/>
    <w:rsid w:val="00137031"/>
    <w:rsid w:val="0015170A"/>
    <w:rsid w:val="0017135D"/>
    <w:rsid w:val="00173485"/>
    <w:rsid w:val="00187831"/>
    <w:rsid w:val="001A3910"/>
    <w:rsid w:val="001B4DE3"/>
    <w:rsid w:val="001D6A5F"/>
    <w:rsid w:val="00201C25"/>
    <w:rsid w:val="00234FA3"/>
    <w:rsid w:val="0025614A"/>
    <w:rsid w:val="00264CDE"/>
    <w:rsid w:val="00295230"/>
    <w:rsid w:val="002964BF"/>
    <w:rsid w:val="002A0E8D"/>
    <w:rsid w:val="002D36FC"/>
    <w:rsid w:val="002E4BF5"/>
    <w:rsid w:val="00305779"/>
    <w:rsid w:val="0031670D"/>
    <w:rsid w:val="00333833"/>
    <w:rsid w:val="00335475"/>
    <w:rsid w:val="00342CC9"/>
    <w:rsid w:val="0037040D"/>
    <w:rsid w:val="003A45BF"/>
    <w:rsid w:val="003D30FB"/>
    <w:rsid w:val="003F3364"/>
    <w:rsid w:val="003F5007"/>
    <w:rsid w:val="0042299B"/>
    <w:rsid w:val="00447771"/>
    <w:rsid w:val="004643DA"/>
    <w:rsid w:val="00464BF9"/>
    <w:rsid w:val="0047470E"/>
    <w:rsid w:val="004759C5"/>
    <w:rsid w:val="004876A3"/>
    <w:rsid w:val="004B36BE"/>
    <w:rsid w:val="004C1723"/>
    <w:rsid w:val="004C344C"/>
    <w:rsid w:val="004D11B4"/>
    <w:rsid w:val="004F40A2"/>
    <w:rsid w:val="00532B85"/>
    <w:rsid w:val="00537E24"/>
    <w:rsid w:val="005428F9"/>
    <w:rsid w:val="005B2C9C"/>
    <w:rsid w:val="005B36B0"/>
    <w:rsid w:val="005B3BCB"/>
    <w:rsid w:val="005E2109"/>
    <w:rsid w:val="005E6435"/>
    <w:rsid w:val="00605523"/>
    <w:rsid w:val="006117F9"/>
    <w:rsid w:val="00615EFA"/>
    <w:rsid w:val="00622338"/>
    <w:rsid w:val="00650FCF"/>
    <w:rsid w:val="00653862"/>
    <w:rsid w:val="00670E77"/>
    <w:rsid w:val="00692D2C"/>
    <w:rsid w:val="006B0226"/>
    <w:rsid w:val="007737CF"/>
    <w:rsid w:val="007A4D85"/>
    <w:rsid w:val="007C7B3C"/>
    <w:rsid w:val="008604A8"/>
    <w:rsid w:val="00870D33"/>
    <w:rsid w:val="00874266"/>
    <w:rsid w:val="00876E80"/>
    <w:rsid w:val="00886BE7"/>
    <w:rsid w:val="008C1FA6"/>
    <w:rsid w:val="008E2E84"/>
    <w:rsid w:val="00911323"/>
    <w:rsid w:val="0097234B"/>
    <w:rsid w:val="009752C5"/>
    <w:rsid w:val="0099285F"/>
    <w:rsid w:val="009A58C9"/>
    <w:rsid w:val="009C2913"/>
    <w:rsid w:val="009C4C6F"/>
    <w:rsid w:val="009D3437"/>
    <w:rsid w:val="009E0F3D"/>
    <w:rsid w:val="009F7936"/>
    <w:rsid w:val="00A01752"/>
    <w:rsid w:val="00A03B76"/>
    <w:rsid w:val="00A04061"/>
    <w:rsid w:val="00A35D7B"/>
    <w:rsid w:val="00A51FE1"/>
    <w:rsid w:val="00A66E81"/>
    <w:rsid w:val="00A723D0"/>
    <w:rsid w:val="00A74B1A"/>
    <w:rsid w:val="00A76550"/>
    <w:rsid w:val="00AA0001"/>
    <w:rsid w:val="00AE29F9"/>
    <w:rsid w:val="00AE36A4"/>
    <w:rsid w:val="00AE6DAE"/>
    <w:rsid w:val="00B05A86"/>
    <w:rsid w:val="00B215BB"/>
    <w:rsid w:val="00B248EB"/>
    <w:rsid w:val="00B5665A"/>
    <w:rsid w:val="00B65454"/>
    <w:rsid w:val="00BD76DA"/>
    <w:rsid w:val="00BE2773"/>
    <w:rsid w:val="00C018B4"/>
    <w:rsid w:val="00C10952"/>
    <w:rsid w:val="00C43F38"/>
    <w:rsid w:val="00C457FC"/>
    <w:rsid w:val="00C512D1"/>
    <w:rsid w:val="00C60713"/>
    <w:rsid w:val="00C7638A"/>
    <w:rsid w:val="00C83635"/>
    <w:rsid w:val="00CA47EC"/>
    <w:rsid w:val="00CB6C48"/>
    <w:rsid w:val="00CC27E6"/>
    <w:rsid w:val="00CF21BE"/>
    <w:rsid w:val="00D511D2"/>
    <w:rsid w:val="00D555D8"/>
    <w:rsid w:val="00D72A28"/>
    <w:rsid w:val="00D74857"/>
    <w:rsid w:val="00DC6154"/>
    <w:rsid w:val="00DF3D0F"/>
    <w:rsid w:val="00E04DFD"/>
    <w:rsid w:val="00E36CF8"/>
    <w:rsid w:val="00E5178D"/>
    <w:rsid w:val="00E57128"/>
    <w:rsid w:val="00E57DED"/>
    <w:rsid w:val="00E64F9F"/>
    <w:rsid w:val="00E659E1"/>
    <w:rsid w:val="00E66635"/>
    <w:rsid w:val="00EA0228"/>
    <w:rsid w:val="00EB5409"/>
    <w:rsid w:val="00EE4DB7"/>
    <w:rsid w:val="00F371A2"/>
    <w:rsid w:val="00F72257"/>
    <w:rsid w:val="00F955C7"/>
    <w:rsid w:val="00FA64B5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868FE8A-7353-4602-A4CC-D42465AB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F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936"/>
  </w:style>
  <w:style w:type="paragraph" w:styleId="Piedepgina">
    <w:name w:val="footer"/>
    <w:basedOn w:val="Normal"/>
    <w:link w:val="Piedepgina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36"/>
  </w:style>
  <w:style w:type="paragraph" w:styleId="Prrafodelista">
    <w:name w:val="List Paragraph"/>
    <w:basedOn w:val="Normal"/>
    <w:uiPriority w:val="34"/>
    <w:qFormat/>
    <w:rsid w:val="001713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5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m.castillalamancha.es/portaldocm/descargarArchivo.do?ruta=2018/03/27/pdf/2018_3767.pdf&amp;tipo=rutaDo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F6E7-8255-4EA5-BDA0-74BCB361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9</cp:revision>
  <cp:lastPrinted>2018-05-03T12:11:00Z</cp:lastPrinted>
  <dcterms:created xsi:type="dcterms:W3CDTF">2018-05-03T08:32:00Z</dcterms:created>
  <dcterms:modified xsi:type="dcterms:W3CDTF">2019-10-10T09:04:00Z</dcterms:modified>
</cp:coreProperties>
</file>