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43" w:rsidRDefault="00496543" w:rsidP="00F80248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F80248" w:rsidRPr="00847D35" w:rsidRDefault="00F80248" w:rsidP="00F80248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847D35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1.- DECRETO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 2020/111</w:t>
      </w:r>
      <w:r w:rsidRPr="00847D35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F80248" w:rsidRPr="00BC6CE9" w:rsidRDefault="00F80248" w:rsidP="00F8024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F80248" w:rsidRPr="00F6532D" w:rsidRDefault="00F80248" w:rsidP="00F80248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6532D">
        <w:rPr>
          <w:rFonts w:ascii="Arial" w:hAnsi="Arial" w:cs="Arial"/>
          <w:b/>
          <w:bCs/>
          <w:sz w:val="24"/>
          <w:szCs w:val="24"/>
        </w:rPr>
        <w:t xml:space="preserve">Decreto 52/2020, </w:t>
      </w:r>
      <w:r w:rsidRPr="00F6532D">
        <w:rPr>
          <w:rFonts w:ascii="Arial" w:hAnsi="Arial" w:cs="Arial"/>
          <w:bCs/>
          <w:sz w:val="24"/>
          <w:szCs w:val="24"/>
        </w:rPr>
        <w:t>de 1 de septiembre, por el que se</w:t>
      </w:r>
      <w:r w:rsidRPr="00F6532D">
        <w:rPr>
          <w:rFonts w:ascii="Arial" w:hAnsi="Arial" w:cs="Arial"/>
          <w:b/>
          <w:bCs/>
          <w:sz w:val="24"/>
          <w:szCs w:val="24"/>
        </w:rPr>
        <w:t xml:space="preserve"> regula la concesión directa de subvenciones en el marco del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6532D">
        <w:rPr>
          <w:rFonts w:ascii="Arial" w:hAnsi="Arial" w:cs="Arial"/>
          <w:b/>
          <w:bCs/>
          <w:sz w:val="24"/>
          <w:szCs w:val="24"/>
        </w:rPr>
        <w:t>Programa Retorno del Talento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6532D">
        <w:rPr>
          <w:rFonts w:ascii="Arial" w:hAnsi="Arial" w:cs="Arial"/>
          <w:bCs/>
          <w:sz w:val="24"/>
          <w:szCs w:val="24"/>
        </w:rPr>
        <w:t>(DOCM nº 181, de 8 de septiembre).</w:t>
      </w:r>
    </w:p>
    <w:p w:rsidR="00F80248" w:rsidRDefault="00F80248" w:rsidP="00F80248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  <w:sz w:val="24"/>
          <w:szCs w:val="24"/>
        </w:rPr>
      </w:pPr>
    </w:p>
    <w:p w:rsidR="00F80248" w:rsidRPr="0001641D" w:rsidRDefault="00F80248" w:rsidP="00F80248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2.- ÓRGANO GESTOR:</w:t>
      </w:r>
      <w:r w:rsidRPr="0001641D">
        <w:rPr>
          <w:rFonts w:ascii="Arial" w:hAnsi="Arial" w:cs="Arial"/>
          <w:b/>
          <w:bCs/>
          <w:sz w:val="24"/>
          <w:szCs w:val="24"/>
        </w:rPr>
        <w:tab/>
      </w:r>
    </w:p>
    <w:p w:rsidR="00F80248" w:rsidRDefault="00F80248" w:rsidP="00F80248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Viceconsejería de Empleo, </w:t>
      </w:r>
      <w:r w:rsidRPr="0031593E">
        <w:rPr>
          <w:rFonts w:ascii="Arial" w:hAnsi="Arial" w:cs="Arial"/>
          <w:bCs/>
          <w:sz w:val="24"/>
          <w:szCs w:val="24"/>
        </w:rPr>
        <w:t>D</w:t>
      </w:r>
      <w:r>
        <w:rPr>
          <w:rFonts w:ascii="Arial" w:hAnsi="Arial" w:cs="Arial"/>
          <w:bCs/>
          <w:sz w:val="24"/>
          <w:szCs w:val="24"/>
        </w:rPr>
        <w:t>iálogo Social y Bienestar Laboral.</w:t>
      </w:r>
    </w:p>
    <w:p w:rsidR="00F80248" w:rsidRDefault="00F80248" w:rsidP="00F80248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Consejería de Economía, Empresas y Empleo.</w:t>
      </w:r>
    </w:p>
    <w:p w:rsidR="00F80248" w:rsidRDefault="00F80248" w:rsidP="00F80248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80248" w:rsidRPr="007F3925" w:rsidRDefault="00F80248" w:rsidP="00F80248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3.- BENEFICIARIAS:</w:t>
      </w:r>
    </w:p>
    <w:p w:rsidR="00F80248" w:rsidRDefault="00F80248" w:rsidP="00F8024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F80248" w:rsidRDefault="00F80248" w:rsidP="00F80248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6532D">
        <w:rPr>
          <w:rFonts w:ascii="Arial" w:hAnsi="Arial" w:cs="Arial"/>
          <w:b/>
          <w:bCs/>
          <w:sz w:val="24"/>
          <w:szCs w:val="24"/>
        </w:rPr>
        <w:t>Para la línea 1</w:t>
      </w:r>
      <w:r w:rsidRPr="00F6532D">
        <w:rPr>
          <w:rFonts w:ascii="Arial" w:hAnsi="Arial" w:cs="Arial"/>
          <w:bCs/>
          <w:sz w:val="24"/>
          <w:szCs w:val="24"/>
        </w:rPr>
        <w:t>: Subvenciones para la contratación indefinida: Empresas, ya sean personas físicas o jurídicas, las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6532D">
        <w:rPr>
          <w:rFonts w:ascii="Arial" w:hAnsi="Arial" w:cs="Arial"/>
          <w:bCs/>
          <w:sz w:val="24"/>
          <w:szCs w:val="24"/>
        </w:rPr>
        <w:t>sociedades laborales o cooperativas, las comunidades de bienes, las sociedades civiles, las entidades sin ánimo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6532D">
        <w:rPr>
          <w:rFonts w:ascii="Arial" w:hAnsi="Arial" w:cs="Arial"/>
          <w:bCs/>
          <w:sz w:val="24"/>
          <w:szCs w:val="24"/>
        </w:rPr>
        <w:t>lucro de carácter privado o cualquier otro tipo de unidad económica que, aun careciendo de personalidad jurídica propia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6532D">
        <w:rPr>
          <w:rFonts w:ascii="Arial" w:hAnsi="Arial" w:cs="Arial"/>
          <w:bCs/>
          <w:sz w:val="24"/>
          <w:szCs w:val="24"/>
        </w:rPr>
        <w:t>o diferenciada de la de sus integrantes, pueda realizar el proyecto o actuación subvencionable.</w:t>
      </w:r>
    </w:p>
    <w:p w:rsidR="00F80248" w:rsidRPr="00F6532D" w:rsidRDefault="00F80248" w:rsidP="00F80248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80248" w:rsidRDefault="00F80248" w:rsidP="00F80248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6532D">
        <w:rPr>
          <w:rFonts w:ascii="Arial" w:hAnsi="Arial" w:cs="Arial"/>
          <w:b/>
          <w:bCs/>
          <w:sz w:val="24"/>
          <w:szCs w:val="24"/>
        </w:rPr>
        <w:t>Para la línea 2</w:t>
      </w:r>
      <w:r w:rsidRPr="00F6532D">
        <w:rPr>
          <w:rFonts w:ascii="Arial" w:hAnsi="Arial" w:cs="Arial"/>
          <w:bCs/>
          <w:sz w:val="24"/>
          <w:szCs w:val="24"/>
        </w:rPr>
        <w:t>: Subvenciones para el inicio de la actividad emprendedora: Podrán ser beneficiarias de las subvenciones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6532D">
        <w:rPr>
          <w:rFonts w:ascii="Arial" w:hAnsi="Arial" w:cs="Arial"/>
          <w:bCs/>
          <w:sz w:val="24"/>
          <w:szCs w:val="24"/>
        </w:rPr>
        <w:t>reguladas en esta línea de subvención las personas, que inicien una actividad económica como trabajadoras autónomas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6532D">
        <w:rPr>
          <w:rFonts w:ascii="Arial" w:hAnsi="Arial" w:cs="Arial"/>
          <w:bCs/>
          <w:sz w:val="24"/>
          <w:szCs w:val="24"/>
        </w:rPr>
        <w:t>o por cuenta propia y que cumplan los requisitos establecidos en el art 17.1 del Decreto.</w:t>
      </w:r>
    </w:p>
    <w:p w:rsidR="00F80248" w:rsidRPr="00F6532D" w:rsidRDefault="00F80248" w:rsidP="00F80248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80248" w:rsidRDefault="00F80248" w:rsidP="00F80248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6532D">
        <w:rPr>
          <w:rFonts w:ascii="Arial" w:hAnsi="Arial" w:cs="Arial"/>
          <w:b/>
          <w:bCs/>
          <w:sz w:val="24"/>
          <w:szCs w:val="24"/>
        </w:rPr>
        <w:t>Para la línea 3:</w:t>
      </w:r>
      <w:r w:rsidRPr="00F6532D">
        <w:rPr>
          <w:rFonts w:ascii="Arial" w:hAnsi="Arial" w:cs="Arial"/>
          <w:bCs/>
          <w:sz w:val="24"/>
          <w:szCs w:val="24"/>
        </w:rPr>
        <w:t xml:space="preserve"> Ayuda asociada al Pasaporte de Vuelta: personas que hayan residido en España, de forma ininterrumpida,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6532D">
        <w:rPr>
          <w:rFonts w:ascii="Arial" w:hAnsi="Arial" w:cs="Arial"/>
          <w:bCs/>
          <w:sz w:val="24"/>
          <w:szCs w:val="24"/>
        </w:rPr>
        <w:t>por un período mínimo de doce meses, dentro de los últimos diez años anteriores a la publicación de la resolución con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6532D">
        <w:rPr>
          <w:rFonts w:ascii="Arial" w:hAnsi="Arial" w:cs="Arial"/>
          <w:bCs/>
          <w:sz w:val="24"/>
          <w:szCs w:val="24"/>
        </w:rPr>
        <w:t>los créditos presupuestarios y que estén en posesión de titulación universitaria, ciclos formativos o certificados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6532D">
        <w:rPr>
          <w:rFonts w:ascii="Arial" w:hAnsi="Arial" w:cs="Arial"/>
          <w:bCs/>
          <w:sz w:val="24"/>
          <w:szCs w:val="24"/>
        </w:rPr>
        <w:t>profesionalidad, que residan o trabajen en el extranjero en el momento de la solicitud del título y reúnan alguno de los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6532D">
        <w:rPr>
          <w:rFonts w:ascii="Arial" w:hAnsi="Arial" w:cs="Arial"/>
          <w:bCs/>
          <w:sz w:val="24"/>
          <w:szCs w:val="24"/>
        </w:rPr>
        <w:t>requisitos establecidos en el art 23.1 del Decreto</w:t>
      </w:r>
    </w:p>
    <w:p w:rsidR="00F80248" w:rsidRPr="0041427E" w:rsidRDefault="00F80248" w:rsidP="00F80248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80248" w:rsidRPr="00E471CE" w:rsidRDefault="00F80248" w:rsidP="00F80248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4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PRESUPUESTO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 Y FINANCIACIÓN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F80248" w:rsidRPr="00F6532D" w:rsidRDefault="00F80248" w:rsidP="00F8024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6532D">
        <w:rPr>
          <w:rFonts w:ascii="Arial" w:hAnsi="Arial" w:cs="Arial"/>
          <w:bCs/>
          <w:sz w:val="24"/>
          <w:szCs w:val="24"/>
        </w:rPr>
        <w:t>El crédito presupuestario disponible para atender las obligaciones económicas derivadas del presente decreto, para el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6532D">
        <w:rPr>
          <w:rFonts w:ascii="Arial" w:hAnsi="Arial" w:cs="Arial"/>
          <w:bCs/>
          <w:sz w:val="24"/>
          <w:szCs w:val="24"/>
        </w:rPr>
        <w:t>ejercicio 2020, asciende a 200.000 euros:</w:t>
      </w:r>
    </w:p>
    <w:p w:rsidR="00F80248" w:rsidRPr="00F6532D" w:rsidRDefault="00F80248" w:rsidP="00F8024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6532D">
        <w:rPr>
          <w:rFonts w:ascii="Arial" w:hAnsi="Arial" w:cs="Arial"/>
          <w:bCs/>
          <w:sz w:val="24"/>
          <w:szCs w:val="24"/>
        </w:rPr>
        <w:t>- Línea 1: 92.000 €.</w:t>
      </w:r>
    </w:p>
    <w:p w:rsidR="00F80248" w:rsidRPr="00F6532D" w:rsidRDefault="00F80248" w:rsidP="00F8024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6532D">
        <w:rPr>
          <w:rFonts w:ascii="Arial" w:hAnsi="Arial" w:cs="Arial"/>
          <w:bCs/>
          <w:sz w:val="24"/>
          <w:szCs w:val="24"/>
        </w:rPr>
        <w:t>- Línea 2: 66.000 €.</w:t>
      </w:r>
    </w:p>
    <w:p w:rsidR="00F80248" w:rsidRPr="005F7929" w:rsidRDefault="00F80248" w:rsidP="00F8024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6532D">
        <w:rPr>
          <w:rFonts w:ascii="Arial" w:hAnsi="Arial" w:cs="Arial"/>
          <w:bCs/>
          <w:sz w:val="24"/>
          <w:szCs w:val="24"/>
        </w:rPr>
        <w:t>- Línea 3: 42.000 €.</w:t>
      </w:r>
    </w:p>
    <w:p w:rsidR="00F80248" w:rsidRDefault="00F80248" w:rsidP="00F8024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80248" w:rsidRPr="00D76E36" w:rsidRDefault="00F80248" w:rsidP="00F80248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5.- CUANTÍA DE LA SUBVENCIÓN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F80248" w:rsidRDefault="00F80248" w:rsidP="00F80248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80248" w:rsidRDefault="00F80248" w:rsidP="00F80248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6532D">
        <w:rPr>
          <w:rFonts w:ascii="Arial" w:hAnsi="Arial" w:cs="Arial"/>
          <w:b/>
          <w:bCs/>
          <w:sz w:val="24"/>
          <w:szCs w:val="24"/>
        </w:rPr>
        <w:t>Línea 1:</w:t>
      </w:r>
      <w:r w:rsidRPr="00F6532D">
        <w:rPr>
          <w:rFonts w:ascii="Arial" w:hAnsi="Arial" w:cs="Arial"/>
          <w:bCs/>
          <w:sz w:val="24"/>
          <w:szCs w:val="24"/>
        </w:rPr>
        <w:t xml:space="preserve"> La cuantía de la subvención por la formalización de los contratos laborales a jornada completa, subvencionables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6532D">
        <w:rPr>
          <w:rFonts w:ascii="Arial" w:hAnsi="Arial" w:cs="Arial"/>
          <w:bCs/>
          <w:sz w:val="24"/>
          <w:szCs w:val="24"/>
        </w:rPr>
        <w:t>al amparo de la presente línea, será de 10.000 euros. La cuantía de la subvención se verá incrementada en los supuestos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6532D">
        <w:rPr>
          <w:rFonts w:ascii="Arial" w:hAnsi="Arial" w:cs="Arial"/>
          <w:bCs/>
          <w:sz w:val="24"/>
          <w:szCs w:val="24"/>
        </w:rPr>
        <w:t>recogidos en el art 14 del Decreto.</w:t>
      </w:r>
    </w:p>
    <w:p w:rsidR="00F80248" w:rsidRPr="00F6532D" w:rsidRDefault="00F80248" w:rsidP="00F80248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80248" w:rsidRDefault="00F80248" w:rsidP="00F80248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6532D">
        <w:rPr>
          <w:rFonts w:ascii="Arial" w:hAnsi="Arial" w:cs="Arial"/>
          <w:b/>
          <w:bCs/>
          <w:sz w:val="24"/>
          <w:szCs w:val="24"/>
        </w:rPr>
        <w:t>Línea 2:</w:t>
      </w:r>
      <w:r w:rsidRPr="00F6532D">
        <w:rPr>
          <w:rFonts w:ascii="Arial" w:hAnsi="Arial" w:cs="Arial"/>
          <w:bCs/>
          <w:sz w:val="24"/>
          <w:szCs w:val="24"/>
        </w:rPr>
        <w:t xml:space="preserve"> La cuantía de la subvención por el inicio de la actividad emprendedora, con las condiciones establecidas en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6532D">
        <w:rPr>
          <w:rFonts w:ascii="Arial" w:hAnsi="Arial" w:cs="Arial"/>
          <w:bCs/>
          <w:sz w:val="24"/>
          <w:szCs w:val="24"/>
        </w:rPr>
        <w:t>el presente decreto, será de hasta 6.000 euros. La cuantía de la subvención se verá incrementada en los supuestos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6532D">
        <w:rPr>
          <w:rFonts w:ascii="Arial" w:hAnsi="Arial" w:cs="Arial"/>
          <w:bCs/>
          <w:sz w:val="24"/>
          <w:szCs w:val="24"/>
        </w:rPr>
        <w:t>recogidos en el art 20 del Decreto.</w:t>
      </w:r>
    </w:p>
    <w:p w:rsidR="00F80248" w:rsidRPr="00F6532D" w:rsidRDefault="00F80248" w:rsidP="00F80248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80248" w:rsidRDefault="00F80248" w:rsidP="00F80248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6532D">
        <w:rPr>
          <w:rFonts w:ascii="Arial" w:hAnsi="Arial" w:cs="Arial"/>
          <w:b/>
          <w:bCs/>
          <w:sz w:val="24"/>
          <w:szCs w:val="24"/>
        </w:rPr>
        <w:t>Línea 3:</w:t>
      </w:r>
      <w:r w:rsidRPr="00F6532D">
        <w:rPr>
          <w:rFonts w:ascii="Arial" w:hAnsi="Arial" w:cs="Arial"/>
          <w:bCs/>
          <w:sz w:val="24"/>
          <w:szCs w:val="24"/>
        </w:rPr>
        <w:t xml:space="preserve"> La cuantía máxima de la ayuda asociada al título “Pasaporte de vuelta” será de 3.000 euros.</w:t>
      </w:r>
    </w:p>
    <w:p w:rsidR="00F80248" w:rsidRDefault="00F80248" w:rsidP="00F80248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80248" w:rsidRPr="00E471CE" w:rsidRDefault="00F80248" w:rsidP="00F80248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6.- 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PLAZO PRESENTACIÓN DE SOLICITUDES:</w:t>
      </w:r>
    </w:p>
    <w:p w:rsidR="00F80248" w:rsidRDefault="00F80248" w:rsidP="00F8024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6532D">
        <w:rPr>
          <w:rFonts w:ascii="Arial" w:hAnsi="Arial" w:cs="Arial"/>
          <w:bCs/>
          <w:sz w:val="24"/>
          <w:szCs w:val="24"/>
        </w:rPr>
        <w:t>El plazo de presentación de solicitudes para el ejercicio 2020, comenzará el día siguiente al de la publicación de este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6532D">
        <w:rPr>
          <w:rFonts w:ascii="Arial" w:hAnsi="Arial" w:cs="Arial"/>
          <w:bCs/>
          <w:sz w:val="24"/>
          <w:szCs w:val="24"/>
        </w:rPr>
        <w:t>decreto en el Diario Oficial de Castilla-La Mancha y finalizará el 15 de diciembre de ese mismo ejercicio y recogerá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6532D">
        <w:rPr>
          <w:rFonts w:ascii="Arial" w:hAnsi="Arial" w:cs="Arial"/>
          <w:bCs/>
          <w:sz w:val="24"/>
          <w:szCs w:val="24"/>
        </w:rPr>
        <w:t>las actuaciones incluidas en la regulación específica de dichas líneas, que sean iniciadas desde el 16 de diciembre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6532D">
        <w:rPr>
          <w:rFonts w:ascii="Arial" w:hAnsi="Arial" w:cs="Arial"/>
          <w:bCs/>
          <w:sz w:val="24"/>
          <w:szCs w:val="24"/>
        </w:rPr>
        <w:t>del año anterior. Dentro del plazo anterior, las solicitudes deberán presentarse dentro de los plazos específicos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6532D">
        <w:rPr>
          <w:rFonts w:ascii="Arial" w:hAnsi="Arial" w:cs="Arial"/>
          <w:bCs/>
          <w:sz w:val="24"/>
          <w:szCs w:val="24"/>
        </w:rPr>
        <w:t>establecidos, para cada línea de subvención, en el artículo 27.3 de este decreto.</w:t>
      </w:r>
    </w:p>
    <w:p w:rsidR="00F80248" w:rsidRDefault="00F80248" w:rsidP="00F80248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  <w:sz w:val="24"/>
          <w:szCs w:val="24"/>
        </w:rPr>
      </w:pPr>
    </w:p>
    <w:p w:rsidR="00F80248" w:rsidRPr="00EE584B" w:rsidRDefault="00F80248" w:rsidP="00F80248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7.-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 CRITERIOS ITI:</w:t>
      </w:r>
    </w:p>
    <w:p w:rsidR="00F80248" w:rsidRPr="00847D35" w:rsidRDefault="00F80248" w:rsidP="00F8024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47D35">
        <w:rPr>
          <w:rFonts w:ascii="Arial" w:hAnsi="Arial" w:cs="Arial"/>
          <w:bCs/>
          <w:sz w:val="24"/>
          <w:szCs w:val="24"/>
        </w:rPr>
        <w:t xml:space="preserve">Para las </w:t>
      </w:r>
      <w:r w:rsidRPr="00847D35">
        <w:rPr>
          <w:rFonts w:ascii="Arial" w:hAnsi="Arial" w:cs="Arial"/>
          <w:b/>
          <w:bCs/>
          <w:sz w:val="24"/>
          <w:szCs w:val="24"/>
        </w:rPr>
        <w:t>Líneas 1 y 2</w:t>
      </w:r>
      <w:r w:rsidRPr="00847D35">
        <w:rPr>
          <w:rFonts w:ascii="Arial" w:hAnsi="Arial" w:cs="Arial"/>
          <w:bCs/>
          <w:sz w:val="24"/>
          <w:szCs w:val="24"/>
        </w:rPr>
        <w:t xml:space="preserve"> la cuantía de la subvención se incrementará en un </w:t>
      </w:r>
      <w:r w:rsidRPr="00847D35">
        <w:rPr>
          <w:rFonts w:ascii="Arial" w:hAnsi="Arial" w:cs="Arial"/>
          <w:b/>
          <w:bCs/>
          <w:sz w:val="24"/>
          <w:szCs w:val="24"/>
        </w:rPr>
        <w:t>20%</w:t>
      </w:r>
      <w:r w:rsidRPr="00847D35">
        <w:rPr>
          <w:rFonts w:ascii="Arial" w:hAnsi="Arial" w:cs="Arial"/>
          <w:bCs/>
          <w:sz w:val="24"/>
          <w:szCs w:val="24"/>
        </w:rPr>
        <w:t>, cuando la actividad subvencionada se realice en alguno de los municipios incluidos en el Anexo del Decreto 31/2017, de 25 de abril, por el que se establece el procedimiento de gobernanza de la Inversión Territorial Integrada (ITI) de Castilla-La Mancha para el período de programación 2014-2020, o con arreglo a la distribución municipal que, en su caso, se determine en posteriores períodos de programación, así como en los territorios de los municipios considerados zonas prioritarias, reguladas en la Ley 5/2017, de 30 de noviembre.</w:t>
      </w:r>
    </w:p>
    <w:p w:rsidR="00F80248" w:rsidRDefault="00F80248" w:rsidP="00F8024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80248" w:rsidRDefault="00F80248" w:rsidP="00F8024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80248" w:rsidRPr="0001641D" w:rsidRDefault="00F80248" w:rsidP="00F80248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8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FECHA DE RESOLUCIÓN DE LA CONVOCATORIA:</w:t>
      </w:r>
    </w:p>
    <w:p w:rsidR="00F80248" w:rsidRDefault="00F80248" w:rsidP="00F8024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6532D">
        <w:rPr>
          <w:rFonts w:ascii="Arial" w:hAnsi="Arial" w:cs="Arial"/>
          <w:sz w:val="24"/>
          <w:szCs w:val="24"/>
        </w:rPr>
        <w:t>El plazo máximo para resolver y notificar la resolución será de tres meses contados desde el día siguiente al de la</w:t>
      </w:r>
      <w:r>
        <w:rPr>
          <w:rFonts w:ascii="Arial" w:hAnsi="Arial" w:cs="Arial"/>
          <w:sz w:val="24"/>
          <w:szCs w:val="24"/>
        </w:rPr>
        <w:t xml:space="preserve"> </w:t>
      </w:r>
      <w:r w:rsidRPr="00F6532D">
        <w:rPr>
          <w:rFonts w:ascii="Arial" w:hAnsi="Arial" w:cs="Arial"/>
          <w:sz w:val="24"/>
          <w:szCs w:val="24"/>
        </w:rPr>
        <w:t>presentación de la solicitud. El vencimiento del plazo máximo sin haberse notificado resolución expresa, legitima a</w:t>
      </w:r>
      <w:r>
        <w:rPr>
          <w:rFonts w:ascii="Arial" w:hAnsi="Arial" w:cs="Arial"/>
          <w:sz w:val="24"/>
          <w:szCs w:val="24"/>
        </w:rPr>
        <w:t xml:space="preserve"> </w:t>
      </w:r>
      <w:r w:rsidRPr="00F6532D">
        <w:rPr>
          <w:rFonts w:ascii="Arial" w:hAnsi="Arial" w:cs="Arial"/>
          <w:sz w:val="24"/>
          <w:szCs w:val="24"/>
        </w:rPr>
        <w:t xml:space="preserve">las y los interesados </w:t>
      </w:r>
      <w:r w:rsidRPr="00F6532D">
        <w:rPr>
          <w:rFonts w:ascii="Arial" w:hAnsi="Arial" w:cs="Arial"/>
          <w:sz w:val="24"/>
          <w:szCs w:val="24"/>
        </w:rPr>
        <w:lastRenderedPageBreak/>
        <w:t>para entender desestimada, por silencio administrativo, la concesión de la subvención.</w:t>
      </w:r>
    </w:p>
    <w:p w:rsidR="00F80248" w:rsidRDefault="00F80248" w:rsidP="00F8024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80248" w:rsidRDefault="00F80248" w:rsidP="00F80248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0F37E7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1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0</w:t>
      </w:r>
      <w:r w:rsidRPr="000E664A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RESULTADOS EN ZONAS ITI:</w:t>
      </w:r>
    </w:p>
    <w:p w:rsidR="00F80248" w:rsidRDefault="00F80248" w:rsidP="00F802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sectPr w:rsidR="00F80248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F80248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16"/>
  </w:num>
  <w:num w:numId="5">
    <w:abstractNumId w:val="15"/>
  </w:num>
  <w:num w:numId="6">
    <w:abstractNumId w:val="24"/>
  </w:num>
  <w:num w:numId="7">
    <w:abstractNumId w:val="9"/>
  </w:num>
  <w:num w:numId="8">
    <w:abstractNumId w:val="21"/>
  </w:num>
  <w:num w:numId="9">
    <w:abstractNumId w:val="11"/>
  </w:num>
  <w:num w:numId="10">
    <w:abstractNumId w:val="17"/>
  </w:num>
  <w:num w:numId="11">
    <w:abstractNumId w:val="14"/>
  </w:num>
  <w:num w:numId="12">
    <w:abstractNumId w:val="8"/>
  </w:num>
  <w:num w:numId="13">
    <w:abstractNumId w:val="10"/>
  </w:num>
  <w:num w:numId="14">
    <w:abstractNumId w:val="7"/>
  </w:num>
  <w:num w:numId="15">
    <w:abstractNumId w:val="25"/>
  </w:num>
  <w:num w:numId="16">
    <w:abstractNumId w:val="23"/>
  </w:num>
  <w:num w:numId="17">
    <w:abstractNumId w:val="12"/>
  </w:num>
  <w:num w:numId="18">
    <w:abstractNumId w:val="0"/>
  </w:num>
  <w:num w:numId="19">
    <w:abstractNumId w:val="5"/>
  </w:num>
  <w:num w:numId="20">
    <w:abstractNumId w:val="1"/>
  </w:num>
  <w:num w:numId="21">
    <w:abstractNumId w:val="3"/>
  </w:num>
  <w:num w:numId="22">
    <w:abstractNumId w:val="13"/>
  </w:num>
  <w:num w:numId="23">
    <w:abstractNumId w:val="4"/>
  </w:num>
  <w:num w:numId="24">
    <w:abstractNumId w:val="22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A58DD"/>
    <w:rsid w:val="000D7560"/>
    <w:rsid w:val="00165816"/>
    <w:rsid w:val="00171DA8"/>
    <w:rsid w:val="001C1EAB"/>
    <w:rsid w:val="002633EF"/>
    <w:rsid w:val="00266BC4"/>
    <w:rsid w:val="002C1BC4"/>
    <w:rsid w:val="00306C93"/>
    <w:rsid w:val="0033530B"/>
    <w:rsid w:val="00337D3C"/>
    <w:rsid w:val="00365EA3"/>
    <w:rsid w:val="003969DC"/>
    <w:rsid w:val="0040363E"/>
    <w:rsid w:val="00463264"/>
    <w:rsid w:val="00496543"/>
    <w:rsid w:val="00497F37"/>
    <w:rsid w:val="004B3DEC"/>
    <w:rsid w:val="004C3E7F"/>
    <w:rsid w:val="004D3D8D"/>
    <w:rsid w:val="004F41D1"/>
    <w:rsid w:val="004F43FC"/>
    <w:rsid w:val="004F7484"/>
    <w:rsid w:val="00532301"/>
    <w:rsid w:val="00533DC4"/>
    <w:rsid w:val="005511F1"/>
    <w:rsid w:val="00587CD8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9742B"/>
    <w:rsid w:val="007A37C1"/>
    <w:rsid w:val="007A40B3"/>
    <w:rsid w:val="007C6CEE"/>
    <w:rsid w:val="007D2858"/>
    <w:rsid w:val="0080278C"/>
    <w:rsid w:val="00821B90"/>
    <w:rsid w:val="0082325A"/>
    <w:rsid w:val="008B01BA"/>
    <w:rsid w:val="008E0F6D"/>
    <w:rsid w:val="008F2503"/>
    <w:rsid w:val="008F25E9"/>
    <w:rsid w:val="00917CB5"/>
    <w:rsid w:val="009553A6"/>
    <w:rsid w:val="009831F9"/>
    <w:rsid w:val="00995AEB"/>
    <w:rsid w:val="00A038C0"/>
    <w:rsid w:val="00A04687"/>
    <w:rsid w:val="00A160C4"/>
    <w:rsid w:val="00A57484"/>
    <w:rsid w:val="00A76985"/>
    <w:rsid w:val="00A97558"/>
    <w:rsid w:val="00AD66B6"/>
    <w:rsid w:val="00B23053"/>
    <w:rsid w:val="00B72895"/>
    <w:rsid w:val="00B94039"/>
    <w:rsid w:val="00BB484F"/>
    <w:rsid w:val="00BF7D95"/>
    <w:rsid w:val="00C018B4"/>
    <w:rsid w:val="00C04720"/>
    <w:rsid w:val="00C061D2"/>
    <w:rsid w:val="00C228A5"/>
    <w:rsid w:val="00C31BCB"/>
    <w:rsid w:val="00C336E2"/>
    <w:rsid w:val="00C60F23"/>
    <w:rsid w:val="00C62A53"/>
    <w:rsid w:val="00CA6515"/>
    <w:rsid w:val="00D32B1E"/>
    <w:rsid w:val="00D53BAB"/>
    <w:rsid w:val="00D626E2"/>
    <w:rsid w:val="00DB33F0"/>
    <w:rsid w:val="00E25503"/>
    <w:rsid w:val="00E413B2"/>
    <w:rsid w:val="00E54798"/>
    <w:rsid w:val="00E86B56"/>
    <w:rsid w:val="00EB3D34"/>
    <w:rsid w:val="00ED0A17"/>
    <w:rsid w:val="00F444F0"/>
    <w:rsid w:val="00F667F7"/>
    <w:rsid w:val="00F80248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B675D50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2</cp:revision>
  <dcterms:created xsi:type="dcterms:W3CDTF">2020-10-06T12:35:00Z</dcterms:created>
  <dcterms:modified xsi:type="dcterms:W3CDTF">2020-10-06T12:35:00Z</dcterms:modified>
</cp:coreProperties>
</file>