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</w:t>
      </w:r>
      <w:r w:rsidRPr="00F0431B">
        <w:rPr>
          <w:rFonts w:ascii="Arial" w:hAnsi="Arial" w:cs="Arial"/>
          <w:b/>
          <w:bCs/>
          <w:color w:val="2F5496" w:themeColor="accent5" w:themeShade="BF"/>
        </w:rPr>
        <w:t>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 2020</w:t>
      </w:r>
      <w:r>
        <w:rPr>
          <w:rFonts w:ascii="Arial" w:hAnsi="Arial" w:cs="Arial"/>
          <w:b/>
          <w:bCs/>
          <w:color w:val="2F5496" w:themeColor="accent5" w:themeShade="BF"/>
        </w:rPr>
        <w:t>/134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2783B" w:rsidRDefault="00C2783B" w:rsidP="00C2783B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35454">
        <w:rPr>
          <w:rFonts w:ascii="Arial" w:hAnsi="Arial" w:cs="Arial"/>
          <w:b/>
          <w:bCs/>
        </w:rPr>
        <w:t xml:space="preserve">Orden 177/2020, </w:t>
      </w:r>
      <w:r w:rsidRPr="00635454">
        <w:rPr>
          <w:rFonts w:ascii="Arial" w:hAnsi="Arial" w:cs="Arial"/>
          <w:bCs/>
        </w:rPr>
        <w:t xml:space="preserve">de 2 de noviembre, de la Consejería de Economía, Empresas y Empleo, por la que </w:t>
      </w:r>
      <w:r w:rsidRPr="00635454">
        <w:rPr>
          <w:rFonts w:ascii="Arial" w:hAnsi="Arial" w:cs="Arial"/>
          <w:b/>
          <w:bCs/>
        </w:rPr>
        <w:t>se establecen</w:t>
      </w:r>
      <w:r>
        <w:rPr>
          <w:rFonts w:ascii="Arial" w:hAnsi="Arial" w:cs="Arial"/>
          <w:b/>
          <w:bCs/>
        </w:rPr>
        <w:t xml:space="preserve"> </w:t>
      </w:r>
      <w:r w:rsidRPr="00635454">
        <w:rPr>
          <w:rFonts w:ascii="Arial" w:hAnsi="Arial" w:cs="Arial"/>
          <w:b/>
          <w:bCs/>
        </w:rPr>
        <w:t>las bases reguladoras de las ayudas destinadas a la recuperación y fortalecimiento del comercio minorista de</w:t>
      </w:r>
      <w:r>
        <w:rPr>
          <w:rFonts w:ascii="Arial" w:hAnsi="Arial" w:cs="Arial"/>
          <w:b/>
          <w:bCs/>
        </w:rPr>
        <w:t xml:space="preserve"> </w:t>
      </w:r>
      <w:r w:rsidRPr="00635454">
        <w:rPr>
          <w:rFonts w:ascii="Arial" w:hAnsi="Arial" w:cs="Arial"/>
          <w:b/>
          <w:bCs/>
        </w:rPr>
        <w:t>Castilla-La Mancha ante la crisis sanit</w:t>
      </w:r>
      <w:r>
        <w:rPr>
          <w:rFonts w:ascii="Arial" w:hAnsi="Arial" w:cs="Arial"/>
          <w:b/>
          <w:bCs/>
        </w:rPr>
        <w:t>aria ocasionada por el COVID-19</w:t>
      </w:r>
      <w:r>
        <w:rPr>
          <w:rFonts w:ascii="Arial" w:hAnsi="Arial" w:cs="Arial"/>
          <w:bCs/>
        </w:rPr>
        <w:t xml:space="preserve"> (DOCM nº 234, de 19 de noviembre).</w:t>
      </w: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/>
          <w:bCs/>
        </w:rPr>
        <w:t>Resolución de 17/12/2020</w:t>
      </w:r>
      <w:r w:rsidRPr="00562236">
        <w:rPr>
          <w:rFonts w:ascii="Arial" w:hAnsi="Arial" w:cs="Arial"/>
          <w:bCs/>
        </w:rPr>
        <w:t xml:space="preserve">, de la Dirección General de Turismo, Comercio y Artesanía, por la que </w:t>
      </w:r>
      <w:r w:rsidRPr="00562236">
        <w:rPr>
          <w:rFonts w:ascii="Arial" w:hAnsi="Arial" w:cs="Arial"/>
          <w:b/>
          <w:bCs/>
        </w:rPr>
        <w:t>se convocan las ayudas destinadas a la recuperación y fortalecimiento del comercio minorista de Castilla-La Mancha ante la crisis sanitaria ocasionada por el COVID-19, para el ejercicio 2020</w:t>
      </w:r>
      <w:r>
        <w:rPr>
          <w:rFonts w:ascii="Arial" w:hAnsi="Arial" w:cs="Arial"/>
          <w:bCs/>
        </w:rPr>
        <w:t xml:space="preserve"> (DOCM nº 254 de 18 de diciembre).</w:t>
      </w:r>
    </w:p>
    <w:p w:rsidR="00C2783B" w:rsidRPr="00562236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2783B" w:rsidRPr="00317BF6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2783B" w:rsidRDefault="00C2783B" w:rsidP="00C2783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Turismo, Comercio y Artesanía</w:t>
      </w:r>
    </w:p>
    <w:p w:rsidR="00C2783B" w:rsidRDefault="00C2783B" w:rsidP="00C2783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2783B" w:rsidRDefault="00C2783B" w:rsidP="00C2783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2783B" w:rsidRPr="00317BF6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2783B" w:rsidRDefault="00C2783B" w:rsidP="00C27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2783B" w:rsidRDefault="00C2783B" w:rsidP="00C27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Las subvenciones que se convocan al amparo de la presente resolución se financiarán con fondos propios, destinándose un importe total de </w:t>
      </w:r>
      <w:r w:rsidRPr="00562236">
        <w:rPr>
          <w:rFonts w:ascii="Arial" w:hAnsi="Arial" w:cs="Arial"/>
          <w:b/>
          <w:bCs/>
        </w:rPr>
        <w:t>800.000 euros</w:t>
      </w:r>
      <w:r w:rsidRPr="00562236">
        <w:rPr>
          <w:rFonts w:ascii="Arial" w:hAnsi="Arial" w:cs="Arial"/>
          <w:bCs/>
        </w:rPr>
        <w:t>, con cargo al presupuesto del ejercicio 2021 de la Consejería de Economía, Empresas y Empleo, teniendo en cuenta que, al tramitarse de manera anticipada, queda condicionada a la existencia de crédito adecuado y suficiente en el ejercicio 2021.</w:t>
      </w:r>
    </w:p>
    <w:p w:rsidR="00C2783B" w:rsidRDefault="00C2783B" w:rsidP="00C27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2783B" w:rsidRPr="007E5BAF" w:rsidRDefault="00C2783B" w:rsidP="00C27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 </w:t>
      </w:r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Dicho importe será contabilizado en las siguientes aplicaciones presupuestarias, con la siguiente distribución: 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06D40">
        <w:rPr>
          <w:rFonts w:ascii="Arial" w:hAnsi="Arial" w:cs="Arial"/>
          <w:bCs/>
          <w:u w:val="single"/>
        </w:rPr>
        <w:t>a) Línea para la recuperación y fortalecimiento del comercio minorista</w:t>
      </w:r>
      <w:r w:rsidRPr="00562236">
        <w:rPr>
          <w:rFonts w:ascii="Arial" w:hAnsi="Arial" w:cs="Arial"/>
          <w:bCs/>
        </w:rPr>
        <w:t xml:space="preserve">: 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G/751E/47000: 20.000,00 euros. 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G/751E/77000: 700.000,00 euros. 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06D40">
        <w:rPr>
          <w:rFonts w:ascii="Arial" w:hAnsi="Arial" w:cs="Arial"/>
          <w:bCs/>
          <w:u w:val="single"/>
        </w:rPr>
        <w:t>b) Línea para la promoción del comercio minorista</w:t>
      </w:r>
      <w:r w:rsidRPr="00562236">
        <w:rPr>
          <w:rFonts w:ascii="Arial" w:hAnsi="Arial" w:cs="Arial"/>
          <w:bCs/>
        </w:rPr>
        <w:t xml:space="preserve">: 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 xml:space="preserve">G/751E/48000: 20.000,00 euros. </w:t>
      </w:r>
    </w:p>
    <w:p w:rsidR="00C2783B" w:rsidRPr="00562236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62236">
        <w:rPr>
          <w:rFonts w:ascii="Arial" w:hAnsi="Arial" w:cs="Arial"/>
          <w:bCs/>
        </w:rPr>
        <w:t>G/751E/78000: 60.000,00 euros.</w:t>
      </w:r>
    </w:p>
    <w:p w:rsidR="00C2783B" w:rsidRPr="003340A0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BENEFICIARIAS:</w:t>
      </w:r>
    </w:p>
    <w:p w:rsidR="00C2783B" w:rsidRPr="00635454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35454">
        <w:rPr>
          <w:rFonts w:ascii="Arial" w:hAnsi="Arial" w:cs="Arial"/>
          <w:bCs/>
        </w:rPr>
        <w:t>a) En la Línea para la recuperación y fortalecimiento del comercio minorista: las personas físicas o jurídicas, incluidas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las comunidades de bienes o cualquier otro tipo de unidad económica o de entidad carente de personalidad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jurídica, que desarrollen una actividad comercial minorista incluida en alguno de los epígrafes del Impuesto de Actividades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Económicas recogidos en el anexo.</w:t>
      </w:r>
    </w:p>
    <w:p w:rsidR="00C2783B" w:rsidRPr="00635454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35454">
        <w:rPr>
          <w:rFonts w:ascii="Arial" w:hAnsi="Arial" w:cs="Arial"/>
          <w:bCs/>
        </w:rPr>
        <w:t>No podrán ser beneficiarias de esta línea las asociaciones de comerciantes y federaciones de las mismas previstas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en la letra b).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35454">
        <w:rPr>
          <w:rFonts w:ascii="Arial" w:hAnsi="Arial" w:cs="Arial"/>
          <w:bCs/>
        </w:rPr>
        <w:lastRenderedPageBreak/>
        <w:t>b) En la Línea para la promoción del comercio minorista: las asociaciones de comerciantes y federaciones de las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mismas cuyos asociados sean personas físicas o jurídicas, incluidas las comunidades de bienes o cualquier otro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tipo de unidad económica o de entidad carente de personalidad jurídica, que desarrollen una actividad comercial</w:t>
      </w:r>
      <w:r>
        <w:rPr>
          <w:rFonts w:ascii="Arial" w:hAnsi="Arial" w:cs="Arial"/>
          <w:bCs/>
        </w:rPr>
        <w:t xml:space="preserve"> </w:t>
      </w:r>
      <w:r w:rsidRPr="00635454">
        <w:rPr>
          <w:rFonts w:ascii="Arial" w:hAnsi="Arial" w:cs="Arial"/>
          <w:bCs/>
        </w:rPr>
        <w:t>minorista incluida en alguno de los epígrafes del Impuesto de Actividades Económicas recogidos en el anexo.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533E5">
        <w:rPr>
          <w:rFonts w:ascii="Arial" w:hAnsi="Arial" w:cs="Arial"/>
          <w:bCs/>
        </w:rPr>
        <w:t xml:space="preserve">Las solicitudes se presentarán en el plazo de </w:t>
      </w:r>
      <w:r w:rsidRPr="00562236">
        <w:rPr>
          <w:rFonts w:ascii="Arial" w:hAnsi="Arial" w:cs="Arial"/>
          <w:b/>
          <w:bCs/>
        </w:rPr>
        <w:t>un mes</w:t>
      </w:r>
      <w:r w:rsidRPr="00A533E5">
        <w:rPr>
          <w:rFonts w:ascii="Arial" w:hAnsi="Arial" w:cs="Arial"/>
          <w:bCs/>
        </w:rPr>
        <w:t xml:space="preserve"> a contar desde el día siguiente al de la publicación de la</w:t>
      </w:r>
      <w:r>
        <w:rPr>
          <w:rFonts w:ascii="Arial" w:hAnsi="Arial" w:cs="Arial"/>
          <w:bCs/>
        </w:rPr>
        <w:t xml:space="preserve"> </w:t>
      </w:r>
      <w:r w:rsidRPr="00A533E5">
        <w:rPr>
          <w:rFonts w:ascii="Arial" w:hAnsi="Arial" w:cs="Arial"/>
          <w:bCs/>
        </w:rPr>
        <w:t>correspondiente convocatoria y de su extracto en el Diario Oficial de Castilla-La Mancha, y se dirigirán a la persona</w:t>
      </w:r>
      <w:r>
        <w:rPr>
          <w:rFonts w:ascii="Arial" w:hAnsi="Arial" w:cs="Arial"/>
          <w:bCs/>
        </w:rPr>
        <w:t xml:space="preserve"> </w:t>
      </w:r>
      <w:r w:rsidRPr="00A533E5">
        <w:rPr>
          <w:rFonts w:ascii="Arial" w:hAnsi="Arial" w:cs="Arial"/>
          <w:bCs/>
        </w:rPr>
        <w:t>titular de la Dirección General competente en materia de comercio.</w:t>
      </w:r>
    </w:p>
    <w:p w:rsidR="00C2783B" w:rsidRPr="00641D83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533E5">
        <w:rPr>
          <w:rFonts w:ascii="Arial" w:hAnsi="Arial" w:cs="Arial"/>
          <w:bCs/>
        </w:rPr>
        <w:t>Línea para la recuperación y fortale</w:t>
      </w:r>
      <w:r>
        <w:rPr>
          <w:rFonts w:ascii="Arial" w:hAnsi="Arial" w:cs="Arial"/>
          <w:bCs/>
        </w:rPr>
        <w:t xml:space="preserve">cimiento del comercio minorista: </w:t>
      </w:r>
      <w:r w:rsidRPr="00A533E5">
        <w:rPr>
          <w:rFonts w:ascii="Arial" w:hAnsi="Arial" w:cs="Arial"/>
          <w:bCs/>
        </w:rPr>
        <w:t>La cuantía de la subvención que podrá concederse para esta línea no superará el 70 por ciento del gasto que se</w:t>
      </w:r>
      <w:r>
        <w:rPr>
          <w:rFonts w:ascii="Arial" w:hAnsi="Arial" w:cs="Arial"/>
          <w:bCs/>
        </w:rPr>
        <w:t xml:space="preserve"> </w:t>
      </w:r>
      <w:r w:rsidRPr="00A533E5">
        <w:rPr>
          <w:rFonts w:ascii="Arial" w:hAnsi="Arial" w:cs="Arial"/>
          <w:bCs/>
        </w:rPr>
        <w:t>considere subvencionable.</w:t>
      </w:r>
    </w:p>
    <w:p w:rsidR="00C2783B" w:rsidRDefault="00C2783B" w:rsidP="00C2783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533E5">
        <w:rPr>
          <w:rFonts w:ascii="Arial" w:hAnsi="Arial" w:cs="Arial"/>
          <w:bCs/>
        </w:rPr>
        <w:t>Línea para la promoción del comercio minorista: La cuantía de la subvención que podrá concederse para esta línea no superará el 70 por ciento del gasto que se</w:t>
      </w:r>
      <w:r>
        <w:rPr>
          <w:rFonts w:ascii="Arial" w:hAnsi="Arial" w:cs="Arial"/>
          <w:bCs/>
        </w:rPr>
        <w:t xml:space="preserve"> </w:t>
      </w:r>
      <w:r w:rsidRPr="00A533E5">
        <w:rPr>
          <w:rFonts w:ascii="Arial" w:hAnsi="Arial" w:cs="Arial"/>
          <w:bCs/>
        </w:rPr>
        <w:t>considere subvencionable.</w:t>
      </w: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2783B" w:rsidRDefault="00C2783B" w:rsidP="00C2783B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A533E5">
        <w:rPr>
          <w:rFonts w:ascii="Arial" w:hAnsi="Arial" w:cs="Arial"/>
          <w:b/>
          <w:bCs/>
          <w:color w:val="000000" w:themeColor="text1"/>
        </w:rPr>
        <w:t>La cuantía se incrementará en un 20 por ciento</w:t>
      </w:r>
      <w:r w:rsidRPr="00A533E5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533E5">
        <w:rPr>
          <w:rFonts w:ascii="Arial" w:hAnsi="Arial" w:cs="Arial"/>
          <w:bCs/>
          <w:color w:val="000000" w:themeColor="text1"/>
        </w:rPr>
        <w:t>cuando el proyecto se localice en</w:t>
      </w:r>
      <w:r>
        <w:rPr>
          <w:rFonts w:ascii="Arial" w:hAnsi="Arial" w:cs="Arial"/>
          <w:bCs/>
          <w:color w:val="000000" w:themeColor="text1"/>
        </w:rPr>
        <w:t xml:space="preserve"> alguno de </w:t>
      </w:r>
      <w:r w:rsidRPr="00A533E5">
        <w:rPr>
          <w:rFonts w:ascii="Arial" w:hAnsi="Arial" w:cs="Arial"/>
          <w:bCs/>
          <w:color w:val="000000" w:themeColor="text1"/>
        </w:rPr>
        <w:t>los municipios incluidos en el Anexo al Decreto 31/2017, de 25 de abril, por el q</w:t>
      </w:r>
      <w:r>
        <w:rPr>
          <w:rFonts w:ascii="Arial" w:hAnsi="Arial" w:cs="Arial"/>
          <w:bCs/>
          <w:color w:val="000000" w:themeColor="text1"/>
        </w:rPr>
        <w:t xml:space="preserve">ue se establece el procedimiento </w:t>
      </w:r>
      <w:r w:rsidRPr="00A533E5">
        <w:rPr>
          <w:rFonts w:ascii="Arial" w:hAnsi="Arial" w:cs="Arial"/>
          <w:bCs/>
          <w:color w:val="000000" w:themeColor="text1"/>
        </w:rPr>
        <w:t>de gobernanza de la Inversión Territorial Integrada (ITI) de Castilla-La Mancha para el período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533E5">
        <w:rPr>
          <w:rFonts w:ascii="Arial" w:hAnsi="Arial" w:cs="Arial"/>
          <w:bCs/>
          <w:color w:val="000000" w:themeColor="text1"/>
        </w:rPr>
        <w:t>programación 2014-2020, o en aquellos municipios que, en su caso, se determine en posteriores periodos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533E5">
        <w:rPr>
          <w:rFonts w:ascii="Arial" w:hAnsi="Arial" w:cs="Arial"/>
          <w:bCs/>
          <w:color w:val="000000" w:themeColor="text1"/>
        </w:rPr>
        <w:t>programación.</w:t>
      </w:r>
    </w:p>
    <w:p w:rsidR="00C2783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C2783B" w:rsidRPr="007E5BAF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2783B" w:rsidRDefault="00C2783B" w:rsidP="00C2783B">
      <w:pPr>
        <w:jc w:val="both"/>
        <w:rPr>
          <w:rFonts w:ascii="Arial" w:hAnsi="Arial" w:cs="Arial"/>
          <w:bCs/>
        </w:rPr>
      </w:pPr>
    </w:p>
    <w:p w:rsidR="00C2783B" w:rsidRDefault="00C2783B" w:rsidP="00C2783B">
      <w:pPr>
        <w:jc w:val="both"/>
        <w:rPr>
          <w:rFonts w:ascii="Arial" w:hAnsi="Arial" w:cs="Arial"/>
          <w:bCs/>
        </w:rPr>
      </w:pPr>
      <w:r w:rsidRPr="00A533E5">
        <w:rPr>
          <w:rFonts w:ascii="Arial" w:hAnsi="Arial" w:cs="Arial"/>
          <w:bCs/>
        </w:rPr>
        <w:t xml:space="preserve">El plazo máximo para resolver y notificar la resolución </w:t>
      </w:r>
      <w:r w:rsidRPr="00A533E5">
        <w:rPr>
          <w:rFonts w:ascii="Arial" w:hAnsi="Arial" w:cs="Arial"/>
          <w:b/>
          <w:bCs/>
        </w:rPr>
        <w:t>no podrá exceder de tres meses</w:t>
      </w:r>
      <w:r w:rsidRPr="00A533E5">
        <w:rPr>
          <w:rFonts w:ascii="Arial" w:hAnsi="Arial" w:cs="Arial"/>
          <w:bCs/>
        </w:rPr>
        <w:t>, a contar desde la fecha de finalización del plazo para presentar solicitudes. El vencimiento del plazo máximo sin haberse notificado resolución expresa, legitima a los interesados para entender desestimada por silencio administrativo la concesión de la subvención</w:t>
      </w:r>
      <w:r>
        <w:rPr>
          <w:rFonts w:ascii="Arial" w:hAnsi="Arial" w:cs="Arial"/>
          <w:bCs/>
        </w:rPr>
        <w:t>.</w:t>
      </w:r>
    </w:p>
    <w:p w:rsidR="00C2783B" w:rsidRPr="00A533E5" w:rsidRDefault="00C2783B" w:rsidP="00C2783B">
      <w:pPr>
        <w:jc w:val="both"/>
        <w:rPr>
          <w:rFonts w:ascii="Arial" w:hAnsi="Arial" w:cs="Arial"/>
          <w:bCs/>
        </w:rPr>
      </w:pPr>
    </w:p>
    <w:p w:rsidR="00C2783B" w:rsidRPr="005B3BCB" w:rsidRDefault="00C2783B" w:rsidP="00C2783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2783B" w:rsidRDefault="00C2783B" w:rsidP="00C2783B">
      <w:pPr>
        <w:spacing w:after="0" w:line="240" w:lineRule="auto"/>
        <w:rPr>
          <w:rFonts w:ascii="Arial" w:hAnsi="Arial" w:cs="Arial"/>
          <w:b/>
          <w:bCs/>
        </w:rPr>
      </w:pPr>
    </w:p>
    <w:p w:rsidR="00BA1530" w:rsidRPr="00C2783B" w:rsidRDefault="00BA1530" w:rsidP="00C2783B"/>
    <w:sectPr w:rsidR="00BA1530" w:rsidRPr="00C2783B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2783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9"/>
  </w:num>
  <w:num w:numId="15">
    <w:abstractNumId w:val="31"/>
  </w:num>
  <w:num w:numId="16">
    <w:abstractNumId w:val="27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6"/>
  </w:num>
  <w:num w:numId="23">
    <w:abstractNumId w:val="6"/>
  </w:num>
  <w:num w:numId="24">
    <w:abstractNumId w:val="26"/>
  </w:num>
  <w:num w:numId="25">
    <w:abstractNumId w:val="22"/>
  </w:num>
  <w:num w:numId="26">
    <w:abstractNumId w:val="23"/>
  </w:num>
  <w:num w:numId="27">
    <w:abstractNumId w:val="0"/>
  </w:num>
  <w:num w:numId="28">
    <w:abstractNumId w:val="21"/>
  </w:num>
  <w:num w:numId="29">
    <w:abstractNumId w:val="29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2021-02-25T10:13:00Z</dcterms:created>
  <dcterms:modified xsi:type="dcterms:W3CDTF">2021-02-25T10:13:00Z</dcterms:modified>
</cp:coreProperties>
</file>